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宋体" w:hAnsi="宋体" w:eastAsia="宋体" w:cs="宋体"/>
          <w:b/>
          <w:color w:val="FF0000"/>
          <w:spacing w:val="-20"/>
          <w:sz w:val="72"/>
          <w:szCs w:val="72"/>
        </w:rPr>
      </w:pPr>
    </w:p>
    <w:p>
      <w:pPr>
        <w:snapToGrid w:val="0"/>
        <w:jc w:val="center"/>
        <w:rPr>
          <w:rFonts w:ascii="宋体" w:hAnsi="宋体" w:eastAsia="宋体" w:cs="宋体"/>
          <w:b/>
          <w:color w:val="FF0000"/>
          <w:spacing w:val="-20"/>
          <w:sz w:val="72"/>
          <w:szCs w:val="72"/>
        </w:rPr>
      </w:pPr>
    </w:p>
    <w:p>
      <w:pPr>
        <w:snapToGrid w:val="0"/>
        <w:jc w:val="center"/>
        <w:rPr>
          <w:rFonts w:ascii="宋体" w:hAnsi="宋体" w:eastAsia="宋体" w:cs="宋体"/>
          <w:b/>
          <w:color w:val="FF0000"/>
          <w:spacing w:val="-20"/>
          <w:sz w:val="72"/>
          <w:szCs w:val="72"/>
        </w:rPr>
      </w:pPr>
      <w:r>
        <w:rPr>
          <w:rFonts w:hint="eastAsia" w:ascii="宋体" w:hAnsi="宋体" w:eastAsia="宋体" w:cs="宋体"/>
          <w:b/>
          <w:color w:val="FF0000"/>
          <w:spacing w:val="-20"/>
          <w:sz w:val="72"/>
          <w:szCs w:val="72"/>
        </w:rPr>
        <w:t>深圳市龙岗区人民法院文件</w:t>
      </w:r>
    </w:p>
    <w:p>
      <w:pPr>
        <w:snapToGrid w:val="0"/>
        <w:rPr>
          <w:rFonts w:ascii="仿宋_GB2312" w:eastAsia="仿宋_GB2312" w:cs="仿宋_GB2312"/>
          <w:color w:val="FF0000"/>
          <w:sz w:val="24"/>
          <w:szCs w:val="24"/>
        </w:rPr>
      </w:pPr>
    </w:p>
    <w:p>
      <w:pPr>
        <w:snapToGrid w:val="0"/>
        <w:rPr>
          <w:rFonts w:ascii="仿宋_GB2312" w:eastAsia="仿宋_GB2312" w:cs="仿宋_GB2312"/>
          <w:color w:val="FF0000"/>
          <w:sz w:val="24"/>
          <w:szCs w:val="24"/>
        </w:rPr>
      </w:pPr>
    </w:p>
    <w:p>
      <w:pPr>
        <w:snapToGrid w:val="0"/>
        <w:jc w:val="center"/>
        <w:rPr>
          <w:rFonts w:ascii="仿宋_GB2312" w:hAnsi="Times New Roman" w:eastAsia="仿宋_GB2312" w:cs="仿宋_GB2312"/>
          <w:color w:val="FF0000"/>
          <w:kern w:val="0"/>
          <w:sz w:val="32"/>
          <w:szCs w:val="32"/>
        </w:rPr>
      </w:pPr>
    </w:p>
    <w:p>
      <w:pPr>
        <w:snapToGrid w:val="0"/>
        <w:jc w:val="center"/>
        <w:rPr>
          <w:rFonts w:ascii="仿宋_GB2312" w:hAnsi="Times New Roman" w:eastAsia="仿宋_GB2312" w:cs="仿宋_GB2312"/>
          <w:color w:val="FF0000"/>
          <w:kern w:val="0"/>
          <w:sz w:val="32"/>
          <w:szCs w:val="32"/>
        </w:rPr>
      </w:pPr>
    </w:p>
    <w:p>
      <w:pPr>
        <w:snapToGrid w:val="0"/>
        <w:jc w:val="center"/>
        <w:rPr>
          <w:rFonts w:ascii="仿宋_GB2312" w:eastAsia="仿宋_GB2312" w:cs="仿宋_GB2312"/>
          <w:color w:val="FF0000"/>
          <w:kern w:val="0"/>
          <w:sz w:val="32"/>
          <w:szCs w:val="32"/>
        </w:rPr>
      </w:pPr>
      <w:r>
        <w:rPr>
          <w:rFonts w:ascii="Times New Roman" w:hAnsi="Times New Roman" w:eastAsia="宋体" w:cs="Times New Roman"/>
          <w:snapToGrid w:val="0"/>
          <w:szCs w:val="24"/>
        </w:rPr>
        <mc:AlternateContent>
          <mc:Choice Requires="wps">
            <w:drawing>
              <wp:anchor distT="0" distB="0" distL="114300" distR="114300" simplePos="0" relativeHeight="249561088" behindDoc="0" locked="0" layoutInCell="1" allowOverlap="1">
                <wp:simplePos x="0" y="0"/>
                <wp:positionH relativeFrom="column">
                  <wp:posOffset>0</wp:posOffset>
                </wp:positionH>
                <wp:positionV relativeFrom="paragraph">
                  <wp:posOffset>138430</wp:posOffset>
                </wp:positionV>
                <wp:extent cx="5600700" cy="0"/>
                <wp:effectExtent l="0" t="19050" r="0" b="19050"/>
                <wp:wrapNone/>
                <wp:docPr id="1" name="直线 6"/>
                <wp:cNvGraphicFramePr/>
                <a:graphic xmlns:a="http://schemas.openxmlformats.org/drawingml/2006/main">
                  <a:graphicData uri="http://schemas.microsoft.com/office/word/2010/wordprocessingShape">
                    <wps:wsp>
                      <wps:cNvCnPr/>
                      <wps:spPr>
                        <a:xfrm>
                          <a:off x="0" y="0"/>
                          <a:ext cx="5600700" cy="0"/>
                        </a:xfrm>
                        <a:prstGeom prst="line">
                          <a:avLst/>
                        </a:prstGeom>
                        <a:ln w="38100" cap="flat" cmpd="sng">
                          <a:solidFill>
                            <a:srgbClr val="FF0000"/>
                          </a:solidFill>
                          <a:prstDash val="solid"/>
                          <a:headEnd type="none" w="med" len="med"/>
                          <a:tailEnd type="none" w="med" len="med"/>
                        </a:ln>
                      </wps:spPr>
                      <wps:bodyPr upright="true"/>
                    </wps:wsp>
                  </a:graphicData>
                </a:graphic>
              </wp:anchor>
            </w:drawing>
          </mc:Choice>
          <mc:Fallback>
            <w:pict>
              <v:line id="直线 6" o:spid="_x0000_s1026" o:spt="20" style="position:absolute;left:0pt;margin-left:0pt;margin-top:10.9pt;height:0pt;width:441pt;z-index:249561088;mso-width-relative:page;mso-height-relative:page;" filled="f" stroked="t" coordsize="21600,21600" o:gfxdata="UEsFBgAAAAAAAAAAAAAAAAAAAAAAAFBLAwQKAAAAAACHTuJAAAAAAAAAAAAAAAAABAAAAGRycy9Q&#10;SwMEFAAAAAgAh07iQPxfRtXWAAAABgEAAA8AAABkcnMvZG93bnJldi54bWxNj0FLw0AQhe9C/8My&#10;BS9iN8lBQsymlIJY7cEaBfG2zY5JaHY27m7a+u8d8aDH997w3jfl8mwHcUQfekcK0kUCAqlxpqdW&#10;wevL3XUOIkRNRg+OUMEXBlhWs4tSF8ad6BmPdWwFl1AotIIuxrGQMjQdWh0WbkTi7MN5qyNL30rj&#10;9YnL7SCzJLmRVvfEC50ecd1hc6gnq8A+2ZV8395Ptd89PL59bje7w9VGqct5mtyCiHiOf8fwg8/o&#10;UDHT3k1kghgU8CNRQZYyP6d5nrGx/zVkVcr/+NU3UEsDBBQAAAAIAIdO4kByNYk20AEAAJEDAAAO&#10;AAAAZHJzL2Uyb0RvYy54bWytU0uOEzEQ3SNxB8t70p1BhFErnVlMCBsEkYADVPzptuSfXE46OQvX&#10;YMWG48w1KDuZDJ8NQmTh2K7yq/deVS/vjs6yg0pogu/5fNZyprwI0vih558/bV7ccoYZvAQbvOr5&#10;SSG/Wz1/tpxip27CGKxUiRGIx26KPR9zjl3ToBiVA5yFqDwFdUgOMh3T0MgEE6E729y07aKZQpIx&#10;BaEQ6XZ9DvJVxddaifxBa1SZ2Z4Tt1zXVNddWZvVErohQRyNuNCAf2DhwHgqeoVaQwa2T+YPKGdE&#10;Chh0nongmqC1EapqIDXz9jc1H0eIqmohczBebcL/ByveH7aJGUm948yDoxY9fPn68O07WxRvpogd&#10;pdz7bbqcMG5TEXrUyZV/ksCO1c/T1U91zEzQ5atF275uyXbxGGueHsaE+a0KjpVNz63xRSp0cHiH&#10;mYpR6mNKubaeTT1/eTuveECjoi1kgnaRyKMf6mMM1siNsbY8wTTs7m1iB6DmbzYt/YomAv4lrVRZ&#10;A47nvBo6j8WoQL7xkuVTJFs8zS8vHJySnFlF4152BAhdBmP/JpNKW08Miq1nI8tuF+SJmrCPyQwj&#10;WZHTXlWiJUh9r5QvM1oG6+dzBXv6klY/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PxfRtXWAAAA&#10;BgEAAA8AAAAAAAAAAQAgAAAAOAAAAGRycy9kb3ducmV2LnhtbFBLAQIUABQAAAAIAIdO4kByNYk2&#10;0AEAAJEDAAAOAAAAAAAAAAEAIAAAADsBAABkcnMvZTJvRG9jLnhtbFBLBQYAAAAABgAGAFkBAAB9&#10;BQAAAAA=&#10;">
                <v:fill on="f" focussize="0,0"/>
                <v:stroke weight="3pt" color="#FF0000" joinstyle="round"/>
                <v:imagedata o:title=""/>
                <o:lock v:ext="edit" aspectratio="f"/>
              </v:line>
            </w:pict>
          </mc:Fallback>
        </mc:AlternateContent>
      </w:r>
    </w:p>
    <w:p>
      <w:pPr>
        <w:snapToGrid w:val="0"/>
        <w:jc w:val="center"/>
        <w:rPr>
          <w:rFonts w:ascii="仿宋_GB2312" w:eastAsia="仿宋_GB2312" w:cs="仿宋_GB2312"/>
          <w:color w:val="FF0000"/>
          <w:kern w:val="0"/>
          <w:sz w:val="32"/>
          <w:szCs w:val="32"/>
        </w:rPr>
      </w:pPr>
    </w:p>
    <w:p>
      <w:pPr>
        <w:snapToGrid w:val="0"/>
        <w:jc w:val="center"/>
        <w:rPr>
          <w:rFonts w:ascii="仿宋_GB2312" w:eastAsia="仿宋_GB2312" w:cs="仿宋_GB2312"/>
          <w:color w:val="FF0000"/>
          <w:kern w:val="0"/>
          <w:sz w:val="32"/>
          <w:szCs w:val="32"/>
        </w:rPr>
      </w:pPr>
    </w:p>
    <w:p>
      <w:pPr>
        <w:widowControl/>
        <w:snapToGrid w:val="0"/>
        <w:spacing w:line="520" w:lineRule="exact"/>
        <w:jc w:val="center"/>
        <w:rPr>
          <w:rFonts w:ascii="宋体" w:hAnsi="宋体" w:eastAsia="宋体" w:cs="黑体"/>
          <w:b/>
          <w:color w:val="000000"/>
          <w:kern w:val="0"/>
          <w:sz w:val="44"/>
          <w:szCs w:val="44"/>
        </w:rPr>
      </w:pPr>
      <w:r>
        <w:rPr>
          <w:rFonts w:hint="eastAsia" w:ascii="宋体" w:hAnsi="宋体" w:eastAsia="宋体" w:cs="黑体"/>
          <w:b/>
          <w:color w:val="000000"/>
          <w:kern w:val="0"/>
          <w:sz w:val="44"/>
          <w:szCs w:val="44"/>
        </w:rPr>
        <w:t>关于印发《深圳市龙岗区人民法院关于进一步加强诉源治理工作的实施方案》的通知</w:t>
      </w:r>
    </w:p>
    <w:p>
      <w:pPr>
        <w:widowControl/>
        <w:snapToGrid w:val="0"/>
        <w:spacing w:line="520" w:lineRule="exact"/>
        <w:rPr>
          <w:rFonts w:ascii="仿宋_GB2312" w:hAnsi="宋体" w:eastAsia="仿宋_GB2312" w:cs="黑体"/>
          <w:color w:val="000000"/>
          <w:kern w:val="0"/>
          <w:sz w:val="32"/>
          <w:szCs w:val="32"/>
        </w:rPr>
      </w:pPr>
    </w:p>
    <w:p>
      <w:pPr>
        <w:widowControl/>
        <w:snapToGrid w:val="0"/>
        <w:spacing w:line="560" w:lineRule="exact"/>
        <w:rPr>
          <w:rFonts w:ascii="仿宋_GB2312" w:hAnsi="宋体" w:eastAsia="仿宋_GB2312" w:cs="黑体"/>
          <w:color w:val="000000"/>
          <w:kern w:val="0"/>
          <w:sz w:val="32"/>
          <w:szCs w:val="32"/>
        </w:rPr>
      </w:pPr>
      <w:r>
        <w:rPr>
          <w:rFonts w:hint="eastAsia" w:ascii="仿宋_GB2312" w:hAnsi="宋体" w:eastAsia="仿宋_GB2312" w:cs="黑体"/>
          <w:color w:val="000000"/>
          <w:kern w:val="0"/>
          <w:sz w:val="32"/>
          <w:szCs w:val="32"/>
        </w:rPr>
        <w:t>各部门：</w:t>
      </w:r>
    </w:p>
    <w:p>
      <w:pPr>
        <w:widowControl/>
        <w:snapToGrid w:val="0"/>
        <w:spacing w:line="560" w:lineRule="exact"/>
        <w:ind w:firstLine="640" w:firstLineChars="200"/>
        <w:rPr>
          <w:rFonts w:ascii="仿宋_GB2312" w:hAnsi="宋体" w:eastAsia="仿宋_GB2312" w:cs="黑体"/>
          <w:kern w:val="0"/>
          <w:sz w:val="32"/>
          <w:szCs w:val="32"/>
        </w:rPr>
      </w:pPr>
      <w:r>
        <w:rPr>
          <w:rFonts w:hint="eastAsia" w:ascii="仿宋_GB2312" w:hAnsi="宋体" w:eastAsia="仿宋_GB2312" w:cs="黑体"/>
          <w:color w:val="000000"/>
          <w:kern w:val="0"/>
          <w:sz w:val="32"/>
          <w:szCs w:val="32"/>
        </w:rPr>
        <w:t>《深圳市龙岗区人民法院关于进一步加强诉源治理工作的实施方案</w:t>
      </w:r>
      <w:r>
        <w:rPr>
          <w:rFonts w:hint="eastAsia" w:ascii="仿宋_GB2312" w:hAnsi="宋体" w:eastAsia="仿宋_GB2312" w:cs="黑体"/>
          <w:kern w:val="0"/>
          <w:sz w:val="32"/>
          <w:szCs w:val="32"/>
        </w:rPr>
        <w:t>》业经我院二</w:t>
      </w:r>
      <w:r>
        <w:rPr>
          <w:rFonts w:hint="eastAsia" w:ascii="宋体" w:hAnsi="宋体" w:eastAsia="宋体" w:cs="宋体"/>
          <w:kern w:val="0"/>
          <w:sz w:val="32"/>
          <w:szCs w:val="32"/>
        </w:rPr>
        <w:t>〇</w:t>
      </w:r>
      <w:r>
        <w:rPr>
          <w:rFonts w:hint="eastAsia" w:ascii="仿宋_GB2312" w:hAnsi="仿宋_GB2312" w:eastAsia="仿宋_GB2312" w:cs="仿宋_GB2312"/>
          <w:kern w:val="0"/>
          <w:sz w:val="32"/>
          <w:szCs w:val="32"/>
        </w:rPr>
        <w:t>二二年第</w:t>
      </w:r>
      <w:r>
        <w:rPr>
          <w:rFonts w:hint="default" w:ascii="仿宋_GB2312" w:hAnsi="仿宋_GB2312" w:eastAsia="仿宋_GB2312" w:cs="仿宋_GB2312"/>
          <w:kern w:val="0"/>
          <w:sz w:val="32"/>
          <w:szCs w:val="32"/>
        </w:rPr>
        <w:t>三十八</w:t>
      </w:r>
      <w:r>
        <w:rPr>
          <w:rFonts w:hint="eastAsia" w:ascii="仿宋_GB2312" w:hAnsi="仿宋_GB2312" w:eastAsia="仿宋_GB2312" w:cs="仿宋_GB2312"/>
          <w:kern w:val="0"/>
          <w:sz w:val="32"/>
          <w:szCs w:val="32"/>
        </w:rPr>
        <w:t>次党组会议</w:t>
      </w:r>
      <w:r>
        <w:rPr>
          <w:rFonts w:hint="eastAsia" w:ascii="仿宋_GB2312" w:hAnsi="宋体" w:eastAsia="仿宋_GB2312" w:cs="黑体"/>
          <w:kern w:val="0"/>
          <w:sz w:val="32"/>
          <w:szCs w:val="32"/>
        </w:rPr>
        <w:t>讨论通过，自2022年8月18日起施行。现印发给你们，请按照职责分工，认真抓好贯彻落实。</w:t>
      </w:r>
    </w:p>
    <w:p>
      <w:pPr>
        <w:widowControl/>
        <w:snapToGrid w:val="0"/>
        <w:spacing w:line="560" w:lineRule="exact"/>
        <w:ind w:firstLine="640" w:firstLineChars="200"/>
        <w:jc w:val="right"/>
        <w:rPr>
          <w:rFonts w:hint="eastAsia" w:ascii="仿宋_GB2312" w:hAnsi="宋体" w:eastAsia="仿宋_GB2312" w:cs="黑体"/>
          <w:color w:val="000000"/>
          <w:kern w:val="0"/>
          <w:sz w:val="32"/>
          <w:szCs w:val="32"/>
        </w:rPr>
      </w:pPr>
    </w:p>
    <w:p>
      <w:pPr>
        <w:widowControl/>
        <w:snapToGrid w:val="0"/>
        <w:spacing w:line="560" w:lineRule="exact"/>
        <w:ind w:firstLine="640" w:firstLineChars="200"/>
        <w:jc w:val="right"/>
        <w:rPr>
          <w:rFonts w:ascii="仿宋_GB2312" w:hAnsi="宋体" w:eastAsia="仿宋_GB2312" w:cs="黑体"/>
          <w:color w:val="000000"/>
          <w:kern w:val="0"/>
          <w:sz w:val="32"/>
          <w:szCs w:val="32"/>
        </w:rPr>
      </w:pPr>
    </w:p>
    <w:p>
      <w:pPr>
        <w:widowControl/>
        <w:snapToGrid w:val="0"/>
        <w:spacing w:line="560" w:lineRule="exact"/>
        <w:ind w:firstLine="640" w:firstLineChars="200"/>
        <w:jc w:val="right"/>
        <w:rPr>
          <w:rFonts w:ascii="仿宋_GB2312" w:hAnsi="宋体" w:eastAsia="仿宋_GB2312" w:cs="黑体"/>
          <w:color w:val="000000"/>
          <w:kern w:val="0"/>
          <w:sz w:val="32"/>
          <w:szCs w:val="32"/>
        </w:rPr>
      </w:pPr>
      <w:r>
        <w:rPr>
          <w:rFonts w:hint="eastAsia" w:ascii="仿宋_GB2312" w:hAnsi="宋体" w:eastAsia="仿宋_GB2312" w:cs="黑体"/>
          <w:color w:val="000000"/>
          <w:kern w:val="0"/>
          <w:sz w:val="32"/>
          <w:szCs w:val="32"/>
        </w:rPr>
        <w:t>深圳市龙岗区人民法院</w:t>
      </w:r>
    </w:p>
    <w:p>
      <w:pPr>
        <w:widowControl/>
        <w:snapToGrid w:val="0"/>
        <w:spacing w:line="560" w:lineRule="exact"/>
        <w:ind w:right="160" w:firstLine="640" w:firstLineChars="200"/>
        <w:jc w:val="right"/>
        <w:rPr>
          <w:rFonts w:ascii="仿宋_GB2312" w:hAnsi="宋体" w:eastAsia="仿宋_GB2312" w:cs="黑体"/>
          <w:color w:val="000000"/>
          <w:kern w:val="0"/>
          <w:sz w:val="32"/>
          <w:szCs w:val="32"/>
        </w:rPr>
      </w:pPr>
      <w:r>
        <w:rPr>
          <w:rFonts w:hint="eastAsia" w:ascii="仿宋_GB2312" w:hAnsi="宋体" w:eastAsia="仿宋_GB2312" w:cs="黑体"/>
          <w:color w:val="000000"/>
          <w:kern w:val="0"/>
          <w:sz w:val="32"/>
          <w:szCs w:val="32"/>
        </w:rPr>
        <w:t>2022年8月18日</w:t>
      </w:r>
    </w:p>
    <w:p>
      <w:pPr>
        <w:widowControl/>
        <w:snapToGrid w:val="0"/>
        <w:spacing w:line="560" w:lineRule="exact"/>
        <w:ind w:right="160" w:firstLine="640" w:firstLineChars="200"/>
        <w:jc w:val="right"/>
        <w:rPr>
          <w:rFonts w:ascii="仿宋_GB2312" w:hAnsi="宋体" w:eastAsia="仿宋_GB2312" w:cs="黑体"/>
          <w:color w:val="000000"/>
          <w:kern w:val="0"/>
          <w:sz w:val="32"/>
          <w:szCs w:val="32"/>
        </w:rPr>
      </w:pPr>
    </w:p>
    <w:p>
      <w:pPr>
        <w:spacing w:line="560" w:lineRule="exact"/>
        <w:jc w:val="center"/>
        <w:rPr>
          <w:rFonts w:ascii="宋体" w:hAnsi="宋体"/>
          <w:b/>
          <w:sz w:val="44"/>
          <w:szCs w:val="44"/>
        </w:rPr>
      </w:pPr>
      <w:r>
        <w:rPr>
          <w:rFonts w:hint="eastAsia" w:ascii="宋体" w:hAnsi="宋体"/>
          <w:b/>
          <w:sz w:val="44"/>
          <w:szCs w:val="44"/>
        </w:rPr>
        <w:t>深圳市龙岗区人民法院关于进一步加强</w:t>
      </w:r>
    </w:p>
    <w:p>
      <w:pPr>
        <w:spacing w:line="560" w:lineRule="exact"/>
        <w:jc w:val="center"/>
        <w:rPr>
          <w:rFonts w:ascii="宋体" w:hAnsi="宋体"/>
          <w:b/>
          <w:sz w:val="44"/>
          <w:szCs w:val="44"/>
        </w:rPr>
      </w:pPr>
      <w:r>
        <w:rPr>
          <w:rFonts w:hint="eastAsia" w:ascii="宋体" w:hAnsi="宋体"/>
          <w:b/>
          <w:sz w:val="44"/>
          <w:szCs w:val="44"/>
        </w:rPr>
        <w:t>诉源治理工作的实施方案</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 xml:space="preserve">    为了加强我院诉源治理工作，进一步增强解决纠纷和服务群众的能力，根据《最高人民法院关于深化人民法院一站式多元解纷机制建设推动矛盾纠纷源头化解的实施意见》《深圳经济特区矛盾纠纷多元化解条例》《深圳市中级人民法院诉调对接工作办法》及龙岗区委平安龙岗建设领导小组办公室《关于进一步完善诉源治理工作机制的意见》等规定，按照上级部门关于诉源治理的工作部署，结合我院工作实际，制定本方案。</w:t>
      </w:r>
    </w:p>
    <w:p>
      <w:pPr>
        <w:spacing w:line="560" w:lineRule="exact"/>
        <w:rPr>
          <w:rFonts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
          <w:sz w:val="32"/>
          <w:szCs w:val="32"/>
        </w:rPr>
        <w:t xml:space="preserve"> 一、工作目标</w:t>
      </w:r>
    </w:p>
    <w:p>
      <w:pPr>
        <w:spacing w:line="560" w:lineRule="exact"/>
        <w:rPr>
          <w:rFonts w:ascii="仿宋_GB2312" w:eastAsia="仿宋_GB2312"/>
          <w:sz w:val="32"/>
          <w:szCs w:val="32"/>
        </w:rPr>
      </w:pPr>
      <w:r>
        <w:rPr>
          <w:rFonts w:hint="eastAsia" w:ascii="仿宋_GB2312" w:eastAsia="仿宋_GB2312"/>
          <w:sz w:val="32"/>
          <w:szCs w:val="32"/>
        </w:rPr>
        <w:t xml:space="preserve">    以习近平新时代中国特色社会主义思想为指导，</w:t>
      </w:r>
      <w:r>
        <w:rPr>
          <w:rFonts w:hint="eastAsia" w:ascii="仿宋_GB2312" w:hAnsi="仿宋_GB2312" w:eastAsia="仿宋_GB2312" w:cs="仿宋_GB2312"/>
          <w:sz w:val="32"/>
          <w:szCs w:val="32"/>
        </w:rPr>
        <w:t>贯彻落实习近平总书记关于“坚持把非诉讼纠纷解决机制挺在前面”的重要指示，</w:t>
      </w:r>
      <w:r>
        <w:rPr>
          <w:rFonts w:hint="eastAsia" w:ascii="仿宋_GB2312" w:eastAsia="仿宋_GB2312"/>
          <w:sz w:val="32"/>
          <w:szCs w:val="32"/>
        </w:rPr>
        <w:t>加强矛盾纠纷源头预防、前端化解、关口把控，从源头上减少诉讼增量，切实维护社会稳定和安全。</w:t>
      </w:r>
    </w:p>
    <w:p>
      <w:pPr>
        <w:spacing w:line="560" w:lineRule="exact"/>
        <w:rPr>
          <w:rFonts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
          <w:sz w:val="32"/>
          <w:szCs w:val="32"/>
        </w:rPr>
        <w:t>二、组织机构</w:t>
      </w:r>
    </w:p>
    <w:p>
      <w:pPr>
        <w:spacing w:line="560" w:lineRule="exact"/>
        <w:rPr>
          <w:rFonts w:ascii="仿宋_GB2312" w:eastAsia="仿宋_GB2312"/>
          <w:sz w:val="32"/>
          <w:szCs w:val="32"/>
        </w:rPr>
      </w:pPr>
      <w:r>
        <w:rPr>
          <w:rFonts w:hint="eastAsia" w:ascii="仿宋_GB2312" w:eastAsia="仿宋_GB2312"/>
          <w:sz w:val="32"/>
          <w:szCs w:val="32"/>
        </w:rPr>
        <w:t xml:space="preserve">    成立龙岗法院诉源治理工作领导小组，全面负责统筹、部署和推进本院诉源治理工作开展，负责诉源化解工作总体牵头、统筹协调，研究工作推进中的重要决策，协调工作中的重大事项等。</w:t>
      </w:r>
    </w:p>
    <w:p>
      <w:pPr>
        <w:spacing w:line="560" w:lineRule="exact"/>
        <w:rPr>
          <w:rFonts w:ascii="仿宋_GB2312" w:eastAsia="仿宋_GB2312"/>
          <w:sz w:val="32"/>
          <w:szCs w:val="32"/>
        </w:rPr>
      </w:pPr>
      <w:r>
        <w:rPr>
          <w:rFonts w:hint="eastAsia" w:ascii="仿宋_GB2312" w:eastAsia="仿宋_GB2312"/>
          <w:sz w:val="32"/>
          <w:szCs w:val="32"/>
        </w:rPr>
        <w:t xml:space="preserve">    领导小组下设办公室，负责请示、报批、督促指导、评估验收和日常管理、数据统计，组织开展专项督察，发挥工作枢纽作用。</w:t>
      </w:r>
    </w:p>
    <w:p>
      <w:pPr>
        <w:spacing w:line="560" w:lineRule="exact"/>
        <w:rPr>
          <w:rFonts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
          <w:sz w:val="32"/>
          <w:szCs w:val="32"/>
        </w:rPr>
        <w:t>三、工作内容</w:t>
      </w:r>
    </w:p>
    <w:p>
      <w:pPr>
        <w:spacing w:line="560" w:lineRule="exact"/>
        <w:rPr>
          <w:rFonts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
          <w:sz w:val="32"/>
          <w:szCs w:val="32"/>
        </w:rPr>
        <w:t>（一）健全诉源治理工作平台</w:t>
      </w:r>
    </w:p>
    <w:p>
      <w:pPr>
        <w:spacing w:line="560" w:lineRule="exact"/>
        <w:rPr>
          <w:rFonts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
          <w:sz w:val="32"/>
          <w:szCs w:val="32"/>
        </w:rPr>
        <w:t xml:space="preserve"> 1.健全诉调对接中心诉源治理服务平台</w:t>
      </w:r>
    </w:p>
    <w:p>
      <w:pPr>
        <w:spacing w:line="560" w:lineRule="exact"/>
        <w:ind w:firstLine="648"/>
        <w:rPr>
          <w:rFonts w:ascii="仿宋_GB2312" w:eastAsia="仿宋_GB2312"/>
          <w:sz w:val="32"/>
          <w:szCs w:val="32"/>
        </w:rPr>
      </w:pPr>
      <w:r>
        <w:rPr>
          <w:rFonts w:hint="eastAsia" w:ascii="仿宋_GB2312" w:eastAsia="仿宋_GB2312"/>
          <w:sz w:val="32"/>
          <w:szCs w:val="32"/>
        </w:rPr>
        <w:t>立案庭诉调对接中心要加强全院诉源治理工作的统筹协调，与院本部业务庭、人民法庭、驻街道工作站共同推进我院诉源治理工作的开展；要坚持诉调对接中心和区公共法律服务中心“一体化运作”，加强与区司法局协作联动，提高诉源治理服务水平；要主动融入党委和政府领导的诉源治理机制建设，将诉源治理贯穿法院工作全过程，充分发挥诉调对接中心、人民法庭、驻街道工作站等平台作用，会同街道做好矛盾纠纷化解，积极参与重点信访维稳案件处置，指导区各相关部门、街道和各级调解组织做好矛盾纠纷化解和“无讼社区”“无讼园区（小区、市场）”创建工作。立案庭诉调对接中心做好与区委、区政府及调解组织的多元解纷工作对接，院本部业务庭做好与对应行业主管部门、行业协会、商会对接，各人民法庭（驻街道工作站）做好与辖区街道党组织、政法单位、社区、自治组织的对接。</w:t>
      </w:r>
    </w:p>
    <w:p>
      <w:pPr>
        <w:spacing w:line="560" w:lineRule="exact"/>
        <w:rPr>
          <w:rFonts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
          <w:sz w:val="32"/>
          <w:szCs w:val="32"/>
        </w:rPr>
        <w:t>2.健全人民法庭（驻街道工作站）诉源治理运作平台</w:t>
      </w:r>
    </w:p>
    <w:p>
      <w:pPr>
        <w:spacing w:line="56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各</w:t>
      </w:r>
      <w:r>
        <w:rPr>
          <w:rFonts w:hint="eastAsia" w:ascii="仿宋_GB2312" w:eastAsia="仿宋_GB2312"/>
          <w:sz w:val="32"/>
          <w:szCs w:val="32"/>
        </w:rPr>
        <w:t>人民法庭（驻街道工作站）身处基层、靠近诉源，是开展诉源治理工作的桥头堡。</w:t>
      </w:r>
      <w:r>
        <w:rPr>
          <w:rFonts w:hint="eastAsia" w:ascii="仿宋_GB2312" w:hAnsi="仿宋_GB2312" w:eastAsia="仿宋_GB2312" w:cs="仿宋_GB2312"/>
          <w:sz w:val="32"/>
          <w:szCs w:val="32"/>
        </w:rPr>
        <w:t>各</w:t>
      </w:r>
      <w:r>
        <w:rPr>
          <w:rFonts w:hint="eastAsia" w:ascii="仿宋_GB2312" w:eastAsia="仿宋_GB2312"/>
          <w:sz w:val="32"/>
          <w:szCs w:val="32"/>
        </w:rPr>
        <w:t>人民法庭（驻街道工作站）</w:t>
      </w:r>
      <w:r>
        <w:rPr>
          <w:rFonts w:hint="eastAsia" w:ascii="仿宋_GB2312" w:hAnsi="仿宋_GB2312" w:eastAsia="仿宋_GB2312" w:cs="仿宋_GB2312"/>
          <w:sz w:val="32"/>
          <w:szCs w:val="32"/>
        </w:rPr>
        <w:t>要与街道综合治理办、司法所、劳动站、社区等部门联动，指导好辖区矛盾纠纷调解工作；充分发挥</w:t>
      </w:r>
      <w:r>
        <w:rPr>
          <w:rFonts w:hint="eastAsia" w:ascii="仿宋_GB2312" w:eastAsia="仿宋_GB2312"/>
          <w:sz w:val="32"/>
          <w:szCs w:val="32"/>
        </w:rPr>
        <w:t>人民法庭（驻街道工作站）</w:t>
      </w:r>
      <w:r>
        <w:rPr>
          <w:rFonts w:hint="eastAsia" w:ascii="仿宋_GB2312" w:hAnsi="仿宋_GB2312" w:eastAsia="仿宋_GB2312" w:cs="仿宋_GB2312"/>
          <w:sz w:val="32"/>
          <w:szCs w:val="32"/>
        </w:rPr>
        <w:t>法官和诉源治理司法辅助人员的作用，利用“深圳移动微法院”“平安码上办”等平台，做好重大案件介入调解、诉前调解、司法确认、法律咨询服务等工作；要指导“无讼社区”“无讼园区”创建，</w:t>
      </w:r>
      <w:r>
        <w:rPr>
          <w:rFonts w:hint="eastAsia" w:ascii="仿宋_GB2312" w:eastAsia="仿宋_GB2312"/>
          <w:sz w:val="32"/>
          <w:szCs w:val="32"/>
        </w:rPr>
        <w:t>开展社区巡回审判、社区普法，</w:t>
      </w:r>
      <w:r>
        <w:rPr>
          <w:rFonts w:hint="eastAsia" w:ascii="仿宋_GB2312" w:hAnsi="仿宋_GB2312" w:eastAsia="仿宋_GB2312" w:cs="仿宋_GB2312"/>
          <w:sz w:val="32"/>
          <w:szCs w:val="32"/>
        </w:rPr>
        <w:t>对辖区矛盾纠纷化解力量组织培训。人民法庭所管辖的街道没有设置工作站的，人民法庭（大鹏法庭除外）应指定一名法官专门负责该街道的诉源治理工作，该法官的分案和考核参照工作站的法官管理。</w:t>
      </w:r>
    </w:p>
    <w:p>
      <w:pPr>
        <w:spacing w:line="560" w:lineRule="exact"/>
        <w:rPr>
          <w:rFonts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
          <w:sz w:val="32"/>
          <w:szCs w:val="32"/>
        </w:rPr>
        <w:t>3.健全创建“无讼社区”“无讼园区（小区、市场）”工作平台</w:t>
      </w:r>
    </w:p>
    <w:p>
      <w:pPr>
        <w:spacing w:line="560" w:lineRule="exact"/>
        <w:rPr>
          <w:rFonts w:ascii="仿宋_GB2312" w:eastAsia="仿宋_GB2312"/>
          <w:sz w:val="32"/>
          <w:szCs w:val="32"/>
        </w:rPr>
      </w:pPr>
      <w:r>
        <w:rPr>
          <w:rFonts w:hint="eastAsia" w:ascii="仿宋_GB2312" w:hAnsi="宋体" w:eastAsia="仿宋_GB2312" w:cs="方正仿宋_GBK"/>
          <w:bCs/>
          <w:sz w:val="32"/>
          <w:szCs w:val="32"/>
        </w:rPr>
        <w:t xml:space="preserve">   </w:t>
      </w:r>
      <w:r>
        <w:rPr>
          <w:rFonts w:hint="eastAsia" w:ascii="仿宋_GB2312" w:eastAsia="仿宋_GB2312"/>
          <w:sz w:val="32"/>
          <w:szCs w:val="32"/>
        </w:rPr>
        <w:t xml:space="preserve"> </w:t>
      </w:r>
      <w:r>
        <w:rPr>
          <w:rFonts w:hint="eastAsia" w:ascii="仿宋_GB2312" w:hAnsi="仿宋_GB2312" w:eastAsia="仿宋_GB2312" w:cs="仿宋_GB2312"/>
          <w:sz w:val="32"/>
          <w:szCs w:val="32"/>
        </w:rPr>
        <w:t>各</w:t>
      </w:r>
      <w:r>
        <w:rPr>
          <w:rFonts w:hint="eastAsia" w:ascii="仿宋_GB2312" w:eastAsia="仿宋_GB2312"/>
          <w:sz w:val="32"/>
          <w:szCs w:val="32"/>
        </w:rPr>
        <w:t>人民法庭（驻街道工作站）要积极参与街道主导的“无讼社区”“无讼园区（小区、市场）”创建工作，努力实现全区“无讼社区”全覆盖。建立“一社区一法官一助理（助理优先安排司法局派驻司法辅助人员）”三个一工作机制，确保每个社区都有一名法官和一名助理挂点联系，通过线上沟通、社区走访等方式，为社区提供纠纷化解指导、司法确认、法律业务培训、法治宣传等多元化司法服务，将纠纷化解在萌芽。</w:t>
      </w:r>
    </w:p>
    <w:p>
      <w:pPr>
        <w:spacing w:line="560" w:lineRule="exact"/>
        <w:rPr>
          <w:rFonts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
          <w:sz w:val="32"/>
          <w:szCs w:val="32"/>
        </w:rPr>
        <w:t>（二）规范诉源治理运行机制</w:t>
      </w:r>
    </w:p>
    <w:p>
      <w:pPr>
        <w:spacing w:line="560" w:lineRule="exact"/>
        <w:rPr>
          <w:rFonts w:ascii="仿宋_GB2312" w:eastAsia="仿宋_GB2312"/>
          <w:b/>
          <w:sz w:val="32"/>
          <w:szCs w:val="32"/>
        </w:rPr>
      </w:pPr>
      <w:r>
        <w:rPr>
          <w:rFonts w:hint="eastAsia" w:ascii="仿宋_GB2312" w:eastAsia="仿宋_GB2312"/>
          <w:b/>
          <w:color w:val="FF0000"/>
          <w:sz w:val="32"/>
          <w:szCs w:val="32"/>
        </w:rPr>
        <w:t xml:space="preserve">  </w:t>
      </w:r>
      <w:r>
        <w:rPr>
          <w:rFonts w:hint="eastAsia" w:ascii="仿宋_GB2312" w:eastAsia="仿宋_GB2312"/>
          <w:b/>
          <w:sz w:val="32"/>
          <w:szCs w:val="32"/>
        </w:rPr>
        <w:t xml:space="preserve">  1.指导调解机制 </w:t>
      </w:r>
    </w:p>
    <w:p>
      <w:pPr>
        <w:spacing w:line="560" w:lineRule="exact"/>
        <w:rPr>
          <w:rFonts w:ascii="仿宋_GB2312" w:eastAsia="仿宋_GB2312"/>
          <w:sz w:val="32"/>
          <w:szCs w:val="32"/>
        </w:rPr>
      </w:pPr>
      <w:r>
        <w:rPr>
          <w:rFonts w:hint="eastAsia" w:ascii="仿宋_GB2312" w:eastAsia="仿宋_GB2312"/>
          <w:sz w:val="32"/>
          <w:szCs w:val="32"/>
        </w:rPr>
        <w:t xml:space="preserve">    各人民法庭（驻街道工作站）指定法官和助理，对口与辖区街道办事处相关部门、社区建立常态化工作联系，组建相应工作群组。通过法官亲自调解、法官指导调解员调解和法官定期组织培训等模式，建立法官常态化指导调解机制，指导各街道和社区调解员做好矛盾纠纷排查化解工作。</w:t>
      </w:r>
    </w:p>
    <w:p>
      <w:pPr>
        <w:spacing w:line="560" w:lineRule="exact"/>
        <w:rPr>
          <w:rFonts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
          <w:sz w:val="32"/>
          <w:szCs w:val="32"/>
        </w:rPr>
        <w:t xml:space="preserve"> 2.司法确认机制</w:t>
      </w:r>
    </w:p>
    <w:p>
      <w:pPr>
        <w:spacing w:line="560" w:lineRule="exact"/>
        <w:rPr>
          <w:rFonts w:ascii="仿宋_GB2312" w:eastAsia="仿宋_GB2312"/>
          <w:sz w:val="32"/>
          <w:szCs w:val="32"/>
        </w:rPr>
      </w:pPr>
      <w:r>
        <w:rPr>
          <w:rFonts w:hint="eastAsia" w:ascii="仿宋_GB2312" w:eastAsia="仿宋_GB2312"/>
          <w:sz w:val="32"/>
          <w:szCs w:val="32"/>
        </w:rPr>
        <w:t xml:space="preserve">    完善司法确认机制，加强对司法确认工作的指导，加强业务培训，提供工作模板，为司法确认创造便利条件。对于经街道和社区人民调解委员会主持调解达成的调解协议，由对口人民法庭、驻街道工作站负责审查确认；对于经其他人民调解委员会、特邀调解组织、特邀调解员主持调解达成的调解协议，由立案庭和对口业务庭负责审查确认。</w:t>
      </w:r>
    </w:p>
    <w:p>
      <w:pPr>
        <w:spacing w:line="560" w:lineRule="exact"/>
        <w:rPr>
          <w:rFonts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
          <w:sz w:val="32"/>
          <w:szCs w:val="32"/>
        </w:rPr>
        <w:t>3.突发事件和重大纠纷介入调解机制</w:t>
      </w:r>
    </w:p>
    <w:p>
      <w:pPr>
        <w:spacing w:line="560" w:lineRule="exact"/>
        <w:rPr>
          <w:rFonts w:ascii="仿宋_GB2312" w:eastAsia="仿宋_GB2312"/>
          <w:sz w:val="32"/>
          <w:szCs w:val="32"/>
        </w:rPr>
      </w:pPr>
      <w:r>
        <w:rPr>
          <w:rFonts w:hint="eastAsia" w:ascii="仿宋_GB2312" w:eastAsia="仿宋_GB2312"/>
          <w:sz w:val="32"/>
          <w:szCs w:val="32"/>
        </w:rPr>
        <w:t xml:space="preserve">    加强对辖区非诉讼方式解决纠纷的指导，根据区、街道有关部门的需求，可以提前介入重大纠纷的调处，努力将矛盾纠纷化解在源头。</w:t>
      </w:r>
    </w:p>
    <w:p>
      <w:pPr>
        <w:adjustRightInd w:val="0"/>
        <w:snapToGrid w:val="0"/>
        <w:spacing w:line="560" w:lineRule="exact"/>
        <w:ind w:firstLine="642" w:firstLineChars="200"/>
        <w:rPr>
          <w:rFonts w:ascii="仿宋_GB2312" w:eastAsia="仿宋_GB2312" w:cs="仿宋_GB2312"/>
          <w:b/>
          <w:sz w:val="32"/>
          <w:szCs w:val="32"/>
        </w:rPr>
      </w:pPr>
      <w:r>
        <w:rPr>
          <w:rFonts w:hint="eastAsia" w:ascii="仿宋_GB2312" w:eastAsia="仿宋_GB2312" w:cs="仿宋_GB2312"/>
          <w:b/>
          <w:sz w:val="32"/>
          <w:szCs w:val="32"/>
        </w:rPr>
        <w:t>4.矛盾纠纷双向移交机制</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加强法院调解和人民调解的工作联动，立案庭对当事人已提交材料但尚未立案的民商事案件进行分析预判，对可能引发群体性纠纷的涉众型案件、存在信访隐患及其它适宜由街道（或社区）调解的案件（如家庭、邻里、物业纠纷等），可及时移交街道，由街道依托诉源治理平台组织调处。各业务庭在审理民商事案件过程中，发现可能引发群体性纠纷、信访隐患的，要及时报告，可协调政法委、相关街道、部门协同处理。街道、部门对多方面调解无果的案件，可引导当事人起诉。</w:t>
      </w:r>
      <w:r>
        <w:rPr>
          <w:rFonts w:hint="eastAsia" w:ascii="仿宋_GB2312" w:eastAsia="仿宋_GB2312"/>
          <w:sz w:val="32"/>
          <w:szCs w:val="32"/>
        </w:rPr>
        <w:t xml:space="preserve"> </w:t>
      </w:r>
    </w:p>
    <w:p>
      <w:pPr>
        <w:spacing w:line="560" w:lineRule="exact"/>
        <w:rPr>
          <w:rFonts w:ascii="仿宋_GB2312" w:eastAsia="仿宋_GB2312"/>
          <w:sz w:val="32"/>
          <w:szCs w:val="32"/>
        </w:rPr>
      </w:pPr>
      <w:r>
        <w:rPr>
          <w:rFonts w:hint="eastAsia" w:ascii="仿宋_GB2312" w:eastAsia="仿宋_GB2312"/>
          <w:b/>
          <w:sz w:val="32"/>
          <w:szCs w:val="32"/>
        </w:rPr>
        <w:t xml:space="preserve">    5.与行业协会合作机制</w:t>
      </w:r>
    </w:p>
    <w:p>
      <w:pPr>
        <w:spacing w:line="560" w:lineRule="exact"/>
        <w:rPr>
          <w:rFonts w:ascii="仿宋_GB2312" w:eastAsia="仿宋_GB2312"/>
          <w:sz w:val="32"/>
          <w:szCs w:val="32"/>
        </w:rPr>
      </w:pPr>
      <w:r>
        <w:rPr>
          <w:rFonts w:hint="eastAsia" w:ascii="仿宋_GB2312" w:eastAsia="仿宋_GB2312"/>
          <w:sz w:val="32"/>
          <w:szCs w:val="32"/>
        </w:rPr>
        <w:t xml:space="preserve">    加强与各行业协会（商会）沟通，引导行业协会（商会）参与诉源治理，发挥行业协会（商会）专业优势，强化行业协会（商会）协调自律功能。通过“行政监管+行业协会”模式，多元化解重点行业领域的矛盾纠纷。</w:t>
      </w:r>
    </w:p>
    <w:p>
      <w:pPr>
        <w:adjustRightInd w:val="0"/>
        <w:snapToGrid w:val="0"/>
        <w:spacing w:line="560" w:lineRule="exact"/>
        <w:ind w:firstLine="642" w:firstLineChars="200"/>
        <w:rPr>
          <w:rFonts w:ascii="仿宋_GB2312" w:eastAsia="仿宋_GB2312"/>
          <w:b/>
          <w:sz w:val="32"/>
          <w:szCs w:val="32"/>
        </w:rPr>
      </w:pPr>
      <w:r>
        <w:rPr>
          <w:rFonts w:hint="eastAsia" w:ascii="仿宋_GB2312" w:eastAsia="仿宋_GB2312"/>
          <w:b/>
          <w:sz w:val="32"/>
          <w:szCs w:val="32"/>
        </w:rPr>
        <w:t>6.全流程诉源治理机制</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织密诉源治理网络，把诉源治理贯穿到矛盾纠纷源头化解、诉前、诉中、判后、执行等全部工作环节中，形成全口径、全流程的诉源治理工作格局，加强诉前调解，提高诉中、判后调解，推进执行调解。各业务庭是判后调解的责任和实施部门，要切实抓好判后调解工作，提高判后调解成功率。判后调解法官由原审法官担任，负责指导调解员开展调解工作及相关的上诉、答疑、息诉等事务。</w:t>
      </w:r>
      <w:r>
        <w:rPr>
          <w:rFonts w:hint="eastAsia" w:ascii="仿宋" w:hAnsi="仿宋" w:eastAsia="仿宋" w:cs="仿宋"/>
          <w:sz w:val="32"/>
          <w:szCs w:val="32"/>
        </w:rPr>
        <w:t>执行局根据</w:t>
      </w:r>
      <w:r>
        <w:rPr>
          <w:rFonts w:hint="eastAsia" w:ascii="仿宋_GB2312" w:eastAsia="仿宋_GB2312"/>
          <w:sz w:val="32"/>
          <w:szCs w:val="32"/>
        </w:rPr>
        <w:t>中院要求落实好执行立案前督促履行及调解工作，推进矛盾纠纷在执行前、执行后的实质化解</w:t>
      </w:r>
      <w:r>
        <w:rPr>
          <w:rFonts w:hint="eastAsia" w:ascii="仿宋" w:hAnsi="仿宋" w:eastAsia="仿宋" w:cs="仿宋"/>
          <w:sz w:val="32"/>
          <w:szCs w:val="32"/>
        </w:rPr>
        <w:t>。</w:t>
      </w:r>
      <w:r>
        <w:rPr>
          <w:rFonts w:hint="eastAsia" w:ascii="仿宋_GB2312" w:eastAsia="仿宋_GB2312"/>
          <w:b/>
          <w:sz w:val="32"/>
          <w:szCs w:val="32"/>
        </w:rPr>
        <w:t xml:space="preserve">  </w:t>
      </w:r>
    </w:p>
    <w:p>
      <w:pPr>
        <w:spacing w:line="560" w:lineRule="exact"/>
        <w:rPr>
          <w:rFonts w:ascii="仿宋_GB2312" w:eastAsia="仿宋_GB2312" w:cs="仿宋_GB2312"/>
          <w:b/>
          <w:sz w:val="32"/>
          <w:szCs w:val="32"/>
        </w:rPr>
      </w:pPr>
      <w:r>
        <w:rPr>
          <w:rFonts w:hint="eastAsia" w:ascii="仿宋_GB2312" w:eastAsia="仿宋_GB2312" w:cs="仿宋_GB2312"/>
          <w:b/>
          <w:sz w:val="32"/>
          <w:szCs w:val="32"/>
        </w:rPr>
        <w:t xml:space="preserve">    7.类案诉源治理示范机制</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结合专业化审判工作机制改革，以人民法庭专业化建设为契机，积极探索类案诉源治理新模式。通过定期收集诉源治理典型案例，建立诉源治理典型案例库。加大调解员对典型案例的学习，通过案例学习促进调解能力的提升。</w:t>
      </w:r>
    </w:p>
    <w:p>
      <w:pPr>
        <w:adjustRightInd w:val="0"/>
        <w:snapToGrid w:val="0"/>
        <w:spacing w:line="560" w:lineRule="exact"/>
        <w:ind w:firstLine="642" w:firstLineChars="200"/>
        <w:rPr>
          <w:rFonts w:ascii="仿宋_GB2312" w:eastAsia="仿宋_GB2312"/>
          <w:b/>
          <w:sz w:val="32"/>
          <w:szCs w:val="32"/>
        </w:rPr>
      </w:pPr>
      <w:r>
        <w:rPr>
          <w:rFonts w:hint="eastAsia" w:ascii="仿宋_GB2312" w:eastAsia="仿宋_GB2312"/>
          <w:b/>
          <w:sz w:val="32"/>
          <w:szCs w:val="32"/>
        </w:rPr>
        <w:t>8.本部各业务庭与人民法庭结对机制</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在党建部门结对机制基础上，形成院本部业务庭与人民法庭之间结对、点对点业务指导，推进庭室间诉源治理资源共享、责任共担，专业审判经验互鉴，凝聚各自优势力量，实现诉源治理共建共赢的新局面。本部业务庭要参与人民法庭指导的“无讼社区”创建工作，共同提高诉源治理水平。</w:t>
      </w:r>
    </w:p>
    <w:p>
      <w:pPr>
        <w:spacing w:line="560" w:lineRule="exact"/>
        <w:rPr>
          <w:rFonts w:ascii="仿宋_GB2312" w:eastAsia="仿宋_GB2312" w:cs="仿宋_GB2312"/>
          <w:b/>
          <w:sz w:val="32"/>
          <w:szCs w:val="32"/>
        </w:rPr>
      </w:pPr>
      <w:r>
        <w:rPr>
          <w:rFonts w:hint="eastAsia" w:ascii="仿宋_GB2312" w:eastAsia="仿宋_GB2312" w:cs="仿宋_GB2312"/>
          <w:b/>
          <w:sz w:val="32"/>
          <w:szCs w:val="32"/>
        </w:rPr>
        <w:t xml:space="preserve">    9.诉源治理宣传机制</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及时总结归纳诉源治理的成果，发现诉源治理工作中的好点子、好办法，提炼成可复制可推广的工作机制，加强宣传引导，与党委政府等部门形成合力，共同推进诉源治理的深入发展。同时，引导人民群众转变思想观念，优先采取调解的方式解决矛盾，化纠纷在萌芽，打造龙岗诉源治理品牌。</w:t>
      </w:r>
    </w:p>
    <w:p>
      <w:pPr>
        <w:spacing w:line="560" w:lineRule="exact"/>
        <w:rPr>
          <w:rFonts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
          <w:sz w:val="32"/>
          <w:szCs w:val="32"/>
        </w:rPr>
        <w:t>（三）强化诉源治理保障</w:t>
      </w:r>
    </w:p>
    <w:p>
      <w:pPr>
        <w:adjustRightInd w:val="0"/>
        <w:snapToGrid w:val="0"/>
        <w:spacing w:line="560" w:lineRule="exact"/>
        <w:ind w:firstLine="642" w:firstLineChars="200"/>
        <w:rPr>
          <w:rFonts w:ascii="仿宋_GB2312" w:eastAsia="仿宋_GB2312" w:cs="仿宋_GB2312"/>
          <w:sz w:val="32"/>
          <w:szCs w:val="32"/>
        </w:rPr>
      </w:pPr>
      <w:r>
        <w:rPr>
          <w:rFonts w:hint="eastAsia" w:ascii="仿宋_GB2312" w:eastAsia="仿宋_GB2312"/>
          <w:b/>
          <w:sz w:val="32"/>
          <w:szCs w:val="32"/>
        </w:rPr>
        <w:t xml:space="preserve"> </w:t>
      </w:r>
      <w:r>
        <w:rPr>
          <w:rFonts w:hint="eastAsia" w:ascii="仿宋_GB2312" w:eastAsia="仿宋_GB2312" w:cs="仿宋_GB2312"/>
          <w:b/>
          <w:sz w:val="32"/>
          <w:szCs w:val="32"/>
        </w:rPr>
        <w:t>1.优化诉源治理考核机制，切实发挥考核的“指挥棒”作用</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根据诉源治理工作情况，实行办案指标动态调整，综合考虑执法办案、指导调解、诉源治理等因素，适当增加诉源治理、诉前、诉中、判后调解等考核权重，重点考核“化解矛盾”质效，切实提高法官和助理开展诉源治理的积极性。</w:t>
      </w:r>
    </w:p>
    <w:p>
      <w:pPr>
        <w:adjustRightInd w:val="0"/>
        <w:snapToGrid w:val="0"/>
        <w:spacing w:line="560" w:lineRule="exact"/>
        <w:ind w:firstLine="642" w:firstLineChars="200"/>
        <w:rPr>
          <w:rFonts w:ascii="仿宋_GB2312" w:eastAsia="仿宋_GB2312" w:cs="仿宋_GB2312"/>
          <w:b/>
          <w:sz w:val="32"/>
          <w:szCs w:val="32"/>
        </w:rPr>
      </w:pPr>
      <w:r>
        <w:rPr>
          <w:rFonts w:hint="eastAsia" w:ascii="仿宋_GB2312" w:eastAsia="仿宋_GB2312" w:cs="仿宋_GB2312"/>
          <w:b/>
          <w:sz w:val="32"/>
          <w:szCs w:val="32"/>
        </w:rPr>
        <w:t>2.壮大调解队伍，提升调解队伍纠纷化解能力</w:t>
      </w:r>
    </w:p>
    <w:p>
      <w:pPr>
        <w:adjustRightInd w:val="0"/>
        <w:snapToGrid w:val="0"/>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本院调解员主要由司法局派驻诉调对接中心调解员、派驻人民法庭司法辅助人员及特邀调解员组成。在充分利用现有调解人员的基础上，应加强行业性、专业性调解组织队伍的发展，推动业务指导工作日常化和制度化，构建“1名法官+N名调解员”组合，推行法官带班调解、调解员跟班作业、法官提供培训咨询的工作模式。同时，法官定期对街道社区调解员、各类调解组织、行业调解人员进行业务指导，提高诉源治理运行质效。健全调解组织、调解员管理机制，加强调解员入册、培训、考核、奖惩、退出管理，提高调解队伍整体素质。优化特邀调解组织和审判业务部门联动调解机制，实现类型纠纷专业化调处。在诉调对接中心挂牌成立金牌调解员个人工作室，充分发挥优秀调解员的示范作用。</w:t>
      </w:r>
    </w:p>
    <w:p>
      <w:pPr>
        <w:adjustRightInd w:val="0"/>
        <w:snapToGrid w:val="0"/>
        <w:spacing w:line="560" w:lineRule="exact"/>
        <w:ind w:firstLine="642" w:firstLineChars="200"/>
        <w:rPr>
          <w:rFonts w:ascii="仿宋_GB2312" w:eastAsia="仿宋_GB2312" w:cs="仿宋_GB2312"/>
          <w:b/>
          <w:sz w:val="32"/>
          <w:szCs w:val="32"/>
        </w:rPr>
      </w:pPr>
      <w:r>
        <w:rPr>
          <w:rFonts w:hint="eastAsia" w:ascii="仿宋_GB2312" w:eastAsia="仿宋_GB2312" w:cs="仿宋_GB2312"/>
          <w:b/>
          <w:sz w:val="32"/>
          <w:szCs w:val="32"/>
        </w:rPr>
        <w:t>3.科技赋能，提高诉源治理信息化水平</w:t>
      </w:r>
    </w:p>
    <w:p>
      <w:pPr>
        <w:adjustRightInd w:val="0"/>
        <w:snapToGrid w:val="0"/>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协调中院开发诉源治理数据录入、查询、统计、分析系统，提高诉源治理的信息化水平。依托在线司法确认云法庭，实现人民调解与司法确认的在线无缝对接，实现全区在线司法确认全覆盖。协调区委政法委、区政数局，努力实现特定区域诉讼案件增量数据的实时更新、实时调取，为考核万人成讼率提供参考</w:t>
      </w:r>
    </w:p>
    <w:p>
      <w:pPr>
        <w:spacing w:line="560" w:lineRule="exact"/>
        <w:rPr>
          <w:rFonts w:ascii="仿宋_GB2312" w:eastAsia="仿宋_GB2312"/>
          <w:b/>
          <w:sz w:val="32"/>
          <w:szCs w:val="32"/>
        </w:rPr>
      </w:pPr>
      <w:r>
        <w:rPr>
          <w:rFonts w:hint="eastAsia" w:ascii="仿宋_GB2312" w:eastAsia="仿宋_GB2312" w:cs="仿宋_GB2312"/>
          <w:sz w:val="32"/>
          <w:szCs w:val="32"/>
        </w:rPr>
        <w:t xml:space="preserve">    </w:t>
      </w:r>
      <w:r>
        <w:rPr>
          <w:rFonts w:hint="eastAsia" w:ascii="仿宋_GB2312" w:eastAsia="仿宋_GB2312"/>
          <w:b/>
          <w:sz w:val="32"/>
          <w:szCs w:val="32"/>
        </w:rPr>
        <w:t>4.加强司法局派驻人民法庭（驻街道工作站）司法辅助人员管理</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该类司法辅助人员主要负责诉源治理、多元解纷工作，各人民法庭（驻街道工作站）应统筹安排司法辅助人员开展诉源治理及诉前、诉中、判后调解工作，并做好绩效考核。（详见附件《关于加强司法局派驻我院司法辅助人员管理的工作方案》）</w:t>
      </w:r>
    </w:p>
    <w:p>
      <w:pPr>
        <w:spacing w:line="560" w:lineRule="exact"/>
        <w:rPr>
          <w:rFonts w:ascii="仿宋_GB2312" w:eastAsia="仿宋_GB2312" w:cs="仿宋_GB2312"/>
          <w:b/>
          <w:sz w:val="32"/>
          <w:szCs w:val="32"/>
        </w:rPr>
      </w:pPr>
      <w:r>
        <w:rPr>
          <w:rFonts w:hint="eastAsia" w:ascii="仿宋_GB2312" w:eastAsia="仿宋_GB2312"/>
          <w:sz w:val="32"/>
          <w:szCs w:val="32"/>
        </w:rPr>
        <w:t xml:space="preserve">   </w:t>
      </w:r>
      <w:r>
        <w:rPr>
          <w:rFonts w:hint="eastAsia" w:ascii="仿宋_GB2312" w:eastAsia="仿宋_GB2312"/>
          <w:b/>
          <w:sz w:val="32"/>
          <w:szCs w:val="32"/>
        </w:rPr>
        <w:t xml:space="preserve"> 5.</w:t>
      </w:r>
      <w:r>
        <w:rPr>
          <w:rFonts w:hint="eastAsia" w:ascii="仿宋_GB2312" w:eastAsia="仿宋_GB2312" w:cs="仿宋_GB2312"/>
          <w:b/>
          <w:sz w:val="32"/>
          <w:szCs w:val="32"/>
        </w:rPr>
        <w:t>民商事案件评估鉴定前置</w:t>
      </w:r>
    </w:p>
    <w:p>
      <w:pPr>
        <w:spacing w:line="560" w:lineRule="exact"/>
        <w:rPr>
          <w:rFonts w:ascii="仿宋_GB2312" w:eastAsia="仿宋_GB2312"/>
          <w:sz w:val="32"/>
          <w:szCs w:val="32"/>
        </w:rPr>
      </w:pPr>
      <w:r>
        <w:rPr>
          <w:rFonts w:hint="eastAsia" w:ascii="仿宋_GB2312" w:eastAsia="仿宋_GB2312" w:cs="仿宋_GB2312"/>
          <w:color w:val="FF0000"/>
          <w:sz w:val="32"/>
          <w:szCs w:val="32"/>
        </w:rPr>
        <w:t xml:space="preserve">    </w:t>
      </w:r>
      <w:r>
        <w:rPr>
          <w:rFonts w:hint="eastAsia" w:ascii="仿宋_GB2312" w:eastAsia="仿宋_GB2312"/>
          <w:sz w:val="32"/>
          <w:szCs w:val="32"/>
        </w:rPr>
        <w:t>为促进矛盾纠纷及时化解，缩短案件审理周期，提高办案质效，立案庭应全面推进民商事案件评估鉴定前置工作。诉前调解阶段当事人申请评估鉴定的，可以委托评估鉴定；需要鉴定且调解不成的案件，应在诉前调解阶段完成评估鉴定。调解员可根据评估鉴定结果进行二次调解。</w:t>
      </w:r>
    </w:p>
    <w:p>
      <w:pPr>
        <w:spacing w:line="560" w:lineRule="exact"/>
        <w:rPr>
          <w:rFonts w:ascii="仿宋_GB2312" w:eastAsia="仿宋_GB2312"/>
          <w:b/>
          <w:sz w:val="32"/>
          <w:szCs w:val="32"/>
        </w:rPr>
      </w:pPr>
      <w:r>
        <w:rPr>
          <w:rFonts w:hint="eastAsia" w:ascii="仿宋_GB2312" w:eastAsia="仿宋_GB2312"/>
          <w:b/>
          <w:sz w:val="32"/>
          <w:szCs w:val="32"/>
        </w:rPr>
        <w:t xml:space="preserve">    6.加强工作保障</w:t>
      </w:r>
    </w:p>
    <w:p>
      <w:pPr>
        <w:spacing w:line="560" w:lineRule="exact"/>
        <w:rPr>
          <w:rFonts w:ascii="仿宋_GB2312" w:eastAsia="仿宋_GB2312"/>
          <w:sz w:val="32"/>
          <w:szCs w:val="32"/>
        </w:rPr>
      </w:pPr>
      <w:r>
        <w:rPr>
          <w:rFonts w:hint="eastAsia" w:ascii="仿宋_GB2312" w:eastAsia="仿宋_GB2312"/>
          <w:sz w:val="32"/>
          <w:szCs w:val="32"/>
        </w:rPr>
        <w:t xml:space="preserve">    为人民法庭（驻街道工作站）积极参与诉源化解工作提供必要的人力、物力保障。协调区委政法委、街道保障驻街道工作站日常运作经费，进一步完善法院工作站信息、安保等软硬件设施，保障简易民商事审理、调解、档案管理、文书处理、会见当事人等基本工作需要，为诉源治理工作顺利开展提供高效、安全、便利工作条件。</w:t>
      </w:r>
    </w:p>
    <w:p>
      <w:pPr>
        <w:spacing w:line="560" w:lineRule="exact"/>
        <w:rPr>
          <w:rFonts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
          <w:sz w:val="32"/>
          <w:szCs w:val="32"/>
        </w:rPr>
        <w:t>四、工作要求</w:t>
      </w:r>
    </w:p>
    <w:p>
      <w:pPr>
        <w:spacing w:line="560" w:lineRule="exact"/>
        <w:rPr>
          <w:rFonts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
          <w:sz w:val="32"/>
          <w:szCs w:val="32"/>
        </w:rPr>
        <w:t>（一）高度重视，将诉源治理工作落到实处</w:t>
      </w:r>
    </w:p>
    <w:p>
      <w:pPr>
        <w:spacing w:line="560" w:lineRule="exact"/>
        <w:rPr>
          <w:rFonts w:ascii="仿宋_GB2312" w:eastAsia="仿宋_GB2312"/>
          <w:sz w:val="32"/>
          <w:szCs w:val="32"/>
        </w:rPr>
      </w:pPr>
      <w:r>
        <w:rPr>
          <w:rFonts w:hint="eastAsia" w:ascii="仿宋_GB2312" w:eastAsia="仿宋_GB2312"/>
          <w:sz w:val="32"/>
          <w:szCs w:val="32"/>
        </w:rPr>
        <w:t xml:space="preserve">     各部门要充分认识诉源治理工作的重要性，切实履行工作责任，抓好诉源治理各项工作的落实，注重从源头上防止矛盾纠纷发生、从前端上消解矛盾纠纷、从关口上防止矛盾纠纷升级，确保诉源治理工作走深走实，切实提升人民群众司法获得感和满意度。</w:t>
      </w:r>
    </w:p>
    <w:p>
      <w:pPr>
        <w:spacing w:line="560" w:lineRule="exact"/>
        <w:rPr>
          <w:rFonts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
          <w:sz w:val="32"/>
          <w:szCs w:val="32"/>
        </w:rPr>
        <w:t>（二）建立数据台账统计机制</w:t>
      </w:r>
    </w:p>
    <w:p>
      <w:pPr>
        <w:spacing w:line="560" w:lineRule="exact"/>
        <w:rPr>
          <w:rFonts w:ascii="仿宋_GB2312" w:eastAsia="仿宋_GB2312"/>
          <w:sz w:val="32"/>
          <w:szCs w:val="32"/>
        </w:rPr>
      </w:pPr>
      <w:r>
        <w:rPr>
          <w:rFonts w:hint="eastAsia" w:ascii="仿宋_GB2312" w:eastAsia="仿宋_GB2312"/>
          <w:sz w:val="32"/>
          <w:szCs w:val="32"/>
        </w:rPr>
        <w:t xml:space="preserve">    各部门切实抓好诉源化解工作的落实推进，建立调解指导、司法确认、巡回审判、普法宣传等工作台账，确保数据准确，每月报立案庭汇总统计，及时反映诉源化解工作开展情况，为诉源治理运行效果提供数据校验。</w:t>
      </w:r>
    </w:p>
    <w:p>
      <w:pPr>
        <w:spacing w:line="560" w:lineRule="exact"/>
        <w:rPr>
          <w:rFonts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
          <w:sz w:val="32"/>
          <w:szCs w:val="32"/>
        </w:rPr>
        <w:t xml:space="preserve"> （三）建立问题反馈和工作例会机制</w:t>
      </w:r>
    </w:p>
    <w:p>
      <w:pPr>
        <w:spacing w:line="560" w:lineRule="exact"/>
        <w:rPr>
          <w:rFonts w:ascii="仿宋_GB2312" w:eastAsia="仿宋_GB2312"/>
          <w:sz w:val="32"/>
          <w:szCs w:val="32"/>
        </w:rPr>
      </w:pPr>
      <w:r>
        <w:rPr>
          <w:rFonts w:hint="eastAsia" w:ascii="仿宋_GB2312" w:eastAsia="仿宋_GB2312"/>
          <w:sz w:val="32"/>
          <w:szCs w:val="32"/>
        </w:rPr>
        <w:t xml:space="preserve">    各部门要高度关注诉源化解工作中出现的问题和困难，定期收集、深入研究、提出建议，及时将相关情况汇总至立案庭。立案庭定期汇总工作开展情况，及时发现和汇总工作中存在的问题，向领导小组提出具体意见和建议，传达领导小组工作指示。审管办定期通报诉源治理质效指标相关情况。</w:t>
      </w:r>
    </w:p>
    <w:p>
      <w:pPr>
        <w:spacing w:line="560" w:lineRule="exact"/>
        <w:rPr>
          <w:rFonts w:ascii="仿宋_GB2312" w:eastAsia="仿宋_GB2312"/>
          <w:sz w:val="32"/>
          <w:szCs w:val="32"/>
        </w:rPr>
      </w:pPr>
      <w:r>
        <w:rPr>
          <w:rFonts w:hint="eastAsia" w:ascii="仿宋_GB2312" w:eastAsia="仿宋_GB2312"/>
          <w:sz w:val="32"/>
          <w:szCs w:val="32"/>
        </w:rPr>
        <w:t xml:space="preserve">   </w:t>
      </w: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附件2：《关于加强司法局派驻我院司法辅助人员管理的工作方案》</w:t>
      </w:r>
    </w:p>
    <w:p>
      <w:pPr>
        <w:spacing w:line="560" w:lineRule="exact"/>
        <w:jc w:val="center"/>
        <w:rPr>
          <w:rFonts w:ascii="方正小标宋_GBK" w:hAnsi="仿宋" w:eastAsia="方正小标宋_GBK" w:cs="仿宋_GB2312"/>
          <w:sz w:val="44"/>
          <w:szCs w:val="44"/>
        </w:rPr>
        <w:sectPr>
          <w:headerReference r:id="rId3" w:type="default"/>
          <w:pgSz w:w="12240" w:h="15840"/>
          <w:pgMar w:top="1440" w:right="1800" w:bottom="1440" w:left="1800" w:header="720" w:footer="720" w:gutter="0"/>
          <w:pgNumType w:start="0"/>
          <w:cols w:space="720" w:num="1"/>
          <w:titlePg/>
          <w:docGrid w:type="lines" w:linePitch="312" w:charSpace="0"/>
        </w:sectPr>
      </w:pPr>
    </w:p>
    <w:p>
      <w:pPr>
        <w:spacing w:line="540" w:lineRule="exact"/>
        <w:rPr>
          <w:rFonts w:ascii="宋体" w:hAnsi="宋体" w:cs="方正小标宋_GBK"/>
          <w:b/>
          <w:bCs/>
          <w:sz w:val="44"/>
          <w:szCs w:val="44"/>
        </w:rPr>
      </w:pPr>
      <w:r>
        <w:rPr>
          <w:rFonts w:hint="eastAsia" w:ascii="宋体" w:hAnsi="宋体" w:cs="方正小标宋_GBK"/>
          <w:b/>
          <w:bCs/>
          <w:sz w:val="44"/>
          <w:szCs w:val="44"/>
        </w:rPr>
        <w:t>附件2：</w:t>
      </w:r>
    </w:p>
    <w:p>
      <w:pPr>
        <w:spacing w:line="540" w:lineRule="exact"/>
        <w:jc w:val="center"/>
        <w:rPr>
          <w:rFonts w:ascii="宋体" w:hAnsi="宋体" w:cs="方正小标宋_GBK"/>
          <w:b/>
          <w:bCs/>
          <w:sz w:val="44"/>
          <w:szCs w:val="44"/>
        </w:rPr>
      </w:pPr>
      <w:r>
        <w:rPr>
          <w:rFonts w:hint="eastAsia" w:ascii="宋体" w:hAnsi="宋体" w:cs="方正小标宋_GBK"/>
          <w:b/>
          <w:bCs/>
          <w:sz w:val="44"/>
          <w:szCs w:val="44"/>
        </w:rPr>
        <w:t>关于加强司法局派驻我院司法辅助人员</w:t>
      </w:r>
    </w:p>
    <w:p>
      <w:pPr>
        <w:spacing w:line="540" w:lineRule="exact"/>
        <w:jc w:val="center"/>
        <w:rPr>
          <w:rFonts w:ascii="宋体" w:hAnsi="宋体" w:cs="方正小标宋_GBK"/>
          <w:b/>
          <w:bCs/>
          <w:sz w:val="44"/>
          <w:szCs w:val="44"/>
        </w:rPr>
      </w:pPr>
      <w:r>
        <w:rPr>
          <w:rFonts w:hint="eastAsia" w:ascii="宋体" w:hAnsi="宋体" w:cs="方正小标宋_GBK"/>
          <w:b/>
          <w:bCs/>
          <w:sz w:val="44"/>
          <w:szCs w:val="44"/>
        </w:rPr>
        <w:t>管理的工作方案</w:t>
      </w:r>
    </w:p>
    <w:p>
      <w:pPr>
        <w:ind w:firstLine="640" w:firstLineChars="200"/>
        <w:rPr>
          <w:sz w:val="32"/>
          <w:szCs w:val="32"/>
        </w:rPr>
      </w:pP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为了进一步推进我院诉源治理工作，加强司法局派驻我院司法辅助人员（简称“司法辅助人员”）的管理，提高司法辅助人员的工作积极性，根据最高人民法院《关于人民法院进一步深化多元化纠纷解决机制改革的意见》《关于人民法院特邀调解的规定》及有关文件的精神和要求，特制定本方案。</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一、司法辅助人员的主要工作职责</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司法辅助人员目前安排在各人民法庭（驻街道工作站），主要负责诉源治理、多元解纷工作。各人民法庭（驻街道工作站）应合理确定司法辅助人员数量及对应指导法官，并备案至立案庭，立案庭根据备案情况向司法辅助人员分配诉前调解案件。</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二、司法辅助人员调解案件的范围</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（一）诉前调解案件</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 xml:space="preserve"> 进入融平台的诉前调解案件由立案庭进行分案，各人民法庭（驻街道工作站）司法辅助人员参与诉前调解的案件包括：一是各人民法庭集中审理的案件,二是其他属于人民法庭审理且在辖区内的案件由立案庭在诉调对接中心与人民法庭之间进行调剂分案。</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上述调解案件中，其中劳动争议纠纷类案件，人民法庭司法辅助人员15日内调解不成功的，由区总工会派驻我院的调解人员进行二次调解；交通事故责任纠纷案件，人民法庭司法辅助人员15日内调解不成功的，由深圳市保险消费者权益服务中心派驻我院的调解人员进行二次调解；医疗损害纠纷类案件，人民法庭司法辅助人员15日内调解不成功的，由龙岗区医疗纠纷人民调解委员会派驻我院的调解员进行二次调解。二次调解的案件不更换指导法官,由原指导法官指导二调调解员调解。</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（二）诉中、判后调解案件</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在人民法庭审理的案件诉中、判后调解，由人民法庭（驻街道工作站）自行安排给所属司法辅助人员进行调解。</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三、司法辅助人员调解案件的补贴标准</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司法辅助人员调解案件补贴标准参照2022年6月17日印发的《深圳市龙岗区人民法院调解员补贴办法》中关于专职调解员的补贴标准执行，调解成功案件每月基本任务数暂定为8宗（审管办根据具体实施情况，可商立案庭调整基本任务数）。司法辅助人员的补贴由本人填写申请表格和提交申请补贴所需的材料，经所在部门审核确认后，根据财务制度予以发放。多报、虚报、弄虚作假的，将予以严肃处理。</w:t>
      </w:r>
    </w:p>
    <w:p>
      <w:pPr>
        <w:spacing w:line="560" w:lineRule="exact"/>
        <w:ind w:firstLine="640" w:firstLineChars="200"/>
        <w:rPr>
          <w:rFonts w:ascii="仿宋_GB2312" w:eastAsia="仿宋_GB2312" w:cs="仿宋_GB2312"/>
          <w:sz w:val="32"/>
          <w:szCs w:val="32"/>
          <w:lang w:val="en-GB"/>
        </w:rPr>
      </w:pPr>
      <w:r>
        <w:rPr>
          <w:rFonts w:hint="eastAsia" w:ascii="仿宋_GB2312" w:eastAsia="仿宋_GB2312" w:cs="仿宋_GB2312"/>
          <w:sz w:val="32"/>
          <w:szCs w:val="32"/>
          <w:lang w:val="en-GB"/>
        </w:rPr>
        <w:t>四、司法辅助人员案件补贴从9月1日开始起算。</w:t>
      </w:r>
    </w:p>
    <w:p>
      <w:pPr>
        <w:widowControl/>
        <w:snapToGrid w:val="0"/>
        <w:spacing w:line="560" w:lineRule="exact"/>
        <w:ind w:right="160" w:firstLine="880" w:firstLineChars="200"/>
        <w:jc w:val="right"/>
        <w:rPr>
          <w:rFonts w:ascii="黑体" w:hAnsi="宋体" w:eastAsia="黑体" w:cs="黑体"/>
          <w:b/>
          <w:sz w:val="44"/>
          <w:szCs w:val="44"/>
          <w:lang w:val="en-GB"/>
        </w:rPr>
      </w:pPr>
    </w:p>
    <w:p>
      <w:pPr>
        <w:widowControl/>
        <w:snapToGrid w:val="0"/>
        <w:spacing w:line="560" w:lineRule="exact"/>
        <w:ind w:right="160" w:firstLine="880" w:firstLineChars="200"/>
        <w:jc w:val="right"/>
        <w:rPr>
          <w:rFonts w:ascii="黑体" w:hAnsi="宋体" w:eastAsia="黑体" w:cs="黑体"/>
          <w:b/>
          <w:sz w:val="44"/>
          <w:szCs w:val="44"/>
          <w:lang w:val="en-GB"/>
        </w:rPr>
      </w:pPr>
    </w:p>
    <w:p>
      <w:pPr>
        <w:widowControl/>
        <w:snapToGrid w:val="0"/>
        <w:spacing w:line="560" w:lineRule="exact"/>
        <w:ind w:right="160" w:firstLine="880" w:firstLineChars="200"/>
        <w:jc w:val="right"/>
        <w:rPr>
          <w:rFonts w:ascii="黑体" w:hAnsi="宋体" w:eastAsia="黑体" w:cs="黑体"/>
          <w:b/>
          <w:sz w:val="44"/>
          <w:szCs w:val="44"/>
          <w:lang w:val="en-GB"/>
        </w:rPr>
      </w:pPr>
    </w:p>
    <w:p>
      <w:pPr>
        <w:widowControl/>
        <w:snapToGrid w:val="0"/>
        <w:spacing w:line="560" w:lineRule="exact"/>
        <w:ind w:right="160" w:firstLine="880" w:firstLineChars="200"/>
        <w:jc w:val="right"/>
        <w:rPr>
          <w:rFonts w:ascii="黑体" w:hAnsi="宋体" w:eastAsia="黑体" w:cs="黑体"/>
          <w:b/>
          <w:sz w:val="44"/>
          <w:szCs w:val="44"/>
          <w:lang w:val="en-GB"/>
        </w:rPr>
      </w:pPr>
    </w:p>
    <w:p>
      <w:pPr>
        <w:snapToGrid w:val="0"/>
      </w:pPr>
      <w:bookmarkStart w:id="0" w:name="_GoBack"/>
      <w:bookmarkEnd w:id="0"/>
    </w:p>
    <w:sectPr>
      <w:pgSz w:w="11906" w:h="16838"/>
      <w:pgMar w:top="1440" w:right="1797" w:bottom="1440" w:left="1702"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A00002BF" w:usb1="38CF7CFA" w:usb2="00082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6ED"/>
    <w:rsid w:val="000E3242"/>
    <w:rsid w:val="000E4724"/>
    <w:rsid w:val="000F03B9"/>
    <w:rsid w:val="0013590A"/>
    <w:rsid w:val="001446CE"/>
    <w:rsid w:val="001754D1"/>
    <w:rsid w:val="001F43C5"/>
    <w:rsid w:val="001F60FD"/>
    <w:rsid w:val="002044F4"/>
    <w:rsid w:val="00253B44"/>
    <w:rsid w:val="00273BF6"/>
    <w:rsid w:val="00295693"/>
    <w:rsid w:val="002D31B9"/>
    <w:rsid w:val="002F63BE"/>
    <w:rsid w:val="00313F3B"/>
    <w:rsid w:val="00354CD5"/>
    <w:rsid w:val="00374CBA"/>
    <w:rsid w:val="003974E7"/>
    <w:rsid w:val="003A6F87"/>
    <w:rsid w:val="003B5761"/>
    <w:rsid w:val="003B6C90"/>
    <w:rsid w:val="003C4331"/>
    <w:rsid w:val="003D2F03"/>
    <w:rsid w:val="00405559"/>
    <w:rsid w:val="00411EC5"/>
    <w:rsid w:val="00446591"/>
    <w:rsid w:val="00476E8C"/>
    <w:rsid w:val="004E0E5C"/>
    <w:rsid w:val="00545D8E"/>
    <w:rsid w:val="0058263F"/>
    <w:rsid w:val="006037AF"/>
    <w:rsid w:val="00667C55"/>
    <w:rsid w:val="006874A1"/>
    <w:rsid w:val="00697DDA"/>
    <w:rsid w:val="006A11D4"/>
    <w:rsid w:val="006E26ED"/>
    <w:rsid w:val="006F65BC"/>
    <w:rsid w:val="00705016"/>
    <w:rsid w:val="00714771"/>
    <w:rsid w:val="00737D0A"/>
    <w:rsid w:val="00751C3C"/>
    <w:rsid w:val="00755A33"/>
    <w:rsid w:val="007771CF"/>
    <w:rsid w:val="007A1BED"/>
    <w:rsid w:val="007B3FE4"/>
    <w:rsid w:val="007C324B"/>
    <w:rsid w:val="00810472"/>
    <w:rsid w:val="00824A62"/>
    <w:rsid w:val="00834B85"/>
    <w:rsid w:val="00853710"/>
    <w:rsid w:val="008625ED"/>
    <w:rsid w:val="00866469"/>
    <w:rsid w:val="008A070D"/>
    <w:rsid w:val="008A5E9F"/>
    <w:rsid w:val="0094259A"/>
    <w:rsid w:val="009D6110"/>
    <w:rsid w:val="009D6CCD"/>
    <w:rsid w:val="00AB5178"/>
    <w:rsid w:val="00AC4DB7"/>
    <w:rsid w:val="00B21D0E"/>
    <w:rsid w:val="00B87CE9"/>
    <w:rsid w:val="00C9066D"/>
    <w:rsid w:val="00C93F65"/>
    <w:rsid w:val="00CA2FE8"/>
    <w:rsid w:val="00CB468B"/>
    <w:rsid w:val="00CB6C42"/>
    <w:rsid w:val="00CD40E0"/>
    <w:rsid w:val="00DF3232"/>
    <w:rsid w:val="00E24FC2"/>
    <w:rsid w:val="00E575A1"/>
    <w:rsid w:val="00EC4499"/>
    <w:rsid w:val="00EC6FAE"/>
    <w:rsid w:val="00EE3A9F"/>
    <w:rsid w:val="00F53AA0"/>
    <w:rsid w:val="00FA1396"/>
    <w:rsid w:val="00FA603B"/>
    <w:rsid w:val="00FA7A21"/>
    <w:rsid w:val="00FB6774"/>
    <w:rsid w:val="43FD0C73"/>
    <w:rsid w:val="55798DF9"/>
    <w:rsid w:val="7BFF0274"/>
    <w:rsid w:val="7DFE1E12"/>
    <w:rsid w:val="CBDA172D"/>
    <w:rsid w:val="DF7A76D6"/>
    <w:rsid w:val="F7B8BB6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4"/>
    <w:semiHidden/>
    <w:unhideWhenUsed/>
    <w:qFormat/>
    <w:uiPriority w:val="99"/>
    <w:pPr>
      <w:ind w:left="100" w:leftChars="2500"/>
    </w:pPr>
  </w:style>
  <w:style w:type="paragraph" w:styleId="3">
    <w:name w:val="footer"/>
    <w:basedOn w:val="1"/>
    <w:link w:val="11"/>
    <w:semiHidden/>
    <w:unhideWhenUsed/>
    <w:qFormat/>
    <w:uiPriority w:val="99"/>
    <w:pPr>
      <w:tabs>
        <w:tab w:val="center" w:pos="4153"/>
        <w:tab w:val="right" w:pos="8306"/>
      </w:tabs>
      <w:snapToGrid w:val="0"/>
      <w:jc w:val="left"/>
    </w:pPr>
    <w:rPr>
      <w:sz w:val="18"/>
    </w:rPr>
  </w:style>
  <w:style w:type="paragraph" w:styleId="4">
    <w:name w:val="header"/>
    <w:basedOn w:val="1"/>
    <w:link w:val="10"/>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semiHidden/>
    <w:unhideWhenUsed/>
    <w:qFormat/>
    <w:uiPriority w:val="99"/>
    <w:rPr>
      <w:sz w:val="24"/>
    </w:rPr>
  </w:style>
  <w:style w:type="character" w:customStyle="1" w:styleId="8">
    <w:name w:val="Body text|1_"/>
    <w:basedOn w:val="7"/>
    <w:link w:val="9"/>
    <w:qFormat/>
    <w:uiPriority w:val="0"/>
    <w:rPr>
      <w:rFonts w:hint="eastAsia" w:ascii="宋体" w:hAnsi="宋体" w:eastAsia="宋体" w:cs="宋体"/>
      <w:sz w:val="30"/>
      <w:szCs w:val="30"/>
      <w:lang w:val="zh-TW" w:eastAsia="zh-TW"/>
    </w:rPr>
  </w:style>
  <w:style w:type="paragraph" w:customStyle="1" w:styleId="9">
    <w:name w:val="Body text|1"/>
    <w:basedOn w:val="1"/>
    <w:link w:val="8"/>
    <w:qFormat/>
    <w:uiPriority w:val="0"/>
    <w:pPr>
      <w:spacing w:line="396" w:lineRule="auto"/>
      <w:ind w:firstLine="400"/>
      <w:jc w:val="left"/>
    </w:pPr>
    <w:rPr>
      <w:rFonts w:hint="eastAsia" w:ascii="宋体" w:hAnsi="宋体" w:eastAsia="宋体" w:cs="Times New Roman"/>
      <w:kern w:val="0"/>
      <w:sz w:val="30"/>
      <w:szCs w:val="30"/>
    </w:rPr>
  </w:style>
  <w:style w:type="character" w:customStyle="1" w:styleId="10">
    <w:name w:val="页眉 Char"/>
    <w:basedOn w:val="7"/>
    <w:link w:val="4"/>
    <w:qFormat/>
    <w:uiPriority w:val="0"/>
    <w:rPr>
      <w:kern w:val="2"/>
      <w:sz w:val="18"/>
      <w:szCs w:val="18"/>
    </w:rPr>
  </w:style>
  <w:style w:type="character" w:customStyle="1" w:styleId="11">
    <w:name w:val="页脚 Char"/>
    <w:basedOn w:val="7"/>
    <w:link w:val="3"/>
    <w:qFormat/>
    <w:uiPriority w:val="0"/>
    <w:rPr>
      <w:kern w:val="2"/>
      <w:sz w:val="18"/>
      <w:szCs w:val="18"/>
    </w:rPr>
  </w:style>
  <w:style w:type="paragraph" w:customStyle="1" w:styleId="12">
    <w:name w:val="Heading #2|1"/>
    <w:basedOn w:val="1"/>
    <w:link w:val="13"/>
    <w:qFormat/>
    <w:uiPriority w:val="0"/>
    <w:pPr>
      <w:spacing w:line="562" w:lineRule="exact"/>
      <w:jc w:val="center"/>
      <w:outlineLvl w:val="1"/>
    </w:pPr>
    <w:rPr>
      <w:rFonts w:hint="eastAsia" w:ascii="宋体" w:hAnsi="宋体" w:eastAsia="宋体" w:cs="Times New Roman"/>
      <w:b/>
      <w:kern w:val="0"/>
      <w:sz w:val="30"/>
      <w:szCs w:val="30"/>
    </w:rPr>
  </w:style>
  <w:style w:type="character" w:customStyle="1" w:styleId="13">
    <w:name w:val="Heading #2|1_"/>
    <w:basedOn w:val="7"/>
    <w:link w:val="12"/>
    <w:qFormat/>
    <w:uiPriority w:val="0"/>
    <w:rPr>
      <w:rFonts w:hint="eastAsia" w:ascii="宋体" w:hAnsi="宋体" w:eastAsia="宋体" w:cs="宋体"/>
      <w:b/>
      <w:sz w:val="30"/>
      <w:szCs w:val="30"/>
      <w:lang w:val="zh-TW" w:eastAsia="zh-TW"/>
    </w:rPr>
  </w:style>
  <w:style w:type="character" w:customStyle="1" w:styleId="14">
    <w:name w:val="日期 Char"/>
    <w:basedOn w:val="7"/>
    <w:link w:val="2"/>
    <w:semiHidden/>
    <w:qFormat/>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27</Pages>
  <Words>1538</Words>
  <Characters>8772</Characters>
  <Lines>73</Lines>
  <Paragraphs>20</Paragraphs>
  <TotalTime>36</TotalTime>
  <ScaleCrop>false</ScaleCrop>
  <LinksUpToDate>false</LinksUpToDate>
  <CharactersWithSpaces>10290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2018-12-26T16:33:00Z</dcterms:created>
  <dc:creator>测试2</dc:creator>
  <cp:lastModifiedBy>linmengnan</cp:lastModifiedBy>
  <dcterms:modified xsi:type="dcterms:W3CDTF">2024-06-14T16:29:52Z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