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深圳市龙岗区人民法院关于为优化营商</w:t>
      </w: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环境改革提供司法保障的工作方案</w:t>
      </w:r>
    </w:p>
    <w:p>
      <w:pPr>
        <w:jc w:val="center"/>
        <w:rPr>
          <w:sz w:val="36"/>
          <w:szCs w:val="36"/>
        </w:rPr>
      </w:pPr>
      <w:bookmarkStart w:id="0" w:name="_GoBack"/>
      <w:bookmarkEnd w:id="0"/>
    </w:p>
    <w:p>
      <w:pPr>
        <w:rPr>
          <w:rFonts w:ascii="仿宋_GB2312" w:eastAsia="仿宋_GB2312"/>
          <w:sz w:val="32"/>
          <w:szCs w:val="32"/>
        </w:rPr>
      </w:pPr>
      <w:r>
        <w:rPr>
          <w:rFonts w:hint="eastAsia" w:ascii="仿宋_GB2312" w:eastAsia="仿宋_GB2312"/>
          <w:sz w:val="32"/>
          <w:szCs w:val="32"/>
        </w:rPr>
        <w:t xml:space="preserve">    为认真贯彻落实区委关于持续优化营商环境支持市场主体更好发展的工作部署，以及市中级法院关于全面提升优化营商环境执行合同指标的工作要求，以优质、高效的司法服务保障法治化营商环境建设，制定本方案。</w:t>
      </w:r>
    </w:p>
    <w:p>
      <w:pPr>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一、总体目标</w:t>
      </w:r>
    </w:p>
    <w:p>
      <w:pPr>
        <w:rPr>
          <w:rFonts w:ascii="仿宋_GB2312" w:eastAsia="仿宋_GB2312"/>
          <w:sz w:val="32"/>
          <w:szCs w:val="32"/>
        </w:rPr>
      </w:pPr>
      <w:r>
        <w:rPr>
          <w:rFonts w:hint="eastAsia" w:ascii="仿宋_GB2312" w:eastAsia="仿宋_GB2312"/>
          <w:sz w:val="32"/>
          <w:szCs w:val="32"/>
        </w:rPr>
        <w:t xml:space="preserve">    以习近平总书记关于加大营商环境改革力度的重要指示精神为指导，以服务龙岗经济高质量发展为总方向，以保障法治化营商环境建设为总目标。坚持问题导向，针对薄弱环节，对照优化营商环境指标评分标准，对标先进地区工作成果，不断优化提升审判质效，形成系统全面、科学规范、运行顺畅的矛盾纠纷解决机制，为优化营商环境改革提供司法服务和保障。</w:t>
      </w:r>
    </w:p>
    <w:p>
      <w:pPr>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二、组织领导</w:t>
      </w:r>
    </w:p>
    <w:p>
      <w:pPr>
        <w:ind w:firstLine="645"/>
        <w:rPr>
          <w:rFonts w:ascii="仿宋_GB2312" w:eastAsia="仿宋_GB2312"/>
          <w:b/>
          <w:sz w:val="32"/>
          <w:szCs w:val="32"/>
        </w:rPr>
      </w:pPr>
      <w:r>
        <w:rPr>
          <w:rFonts w:hint="eastAsia" w:ascii="仿宋_GB2312" w:eastAsia="仿宋_GB2312"/>
          <w:b/>
          <w:sz w:val="32"/>
          <w:szCs w:val="32"/>
        </w:rPr>
        <w:t>（一）成立优化营商环境改革工作领导小组</w:t>
      </w:r>
    </w:p>
    <w:p>
      <w:pPr>
        <w:ind w:firstLine="645"/>
        <w:rPr>
          <w:rFonts w:ascii="仿宋_GB2312" w:eastAsia="仿宋_GB2312"/>
          <w:sz w:val="32"/>
          <w:szCs w:val="32"/>
        </w:rPr>
      </w:pPr>
      <w:r>
        <w:rPr>
          <w:rFonts w:hint="eastAsia" w:ascii="仿宋_GB2312" w:eastAsia="仿宋_GB2312"/>
          <w:sz w:val="32"/>
          <w:szCs w:val="32"/>
        </w:rPr>
        <w:t>工作领导小组负责制度文件、工作机制的请示报批、督促指导、评估验收和日常管理，审议相关配套方案，研究优化营商环境改革工作中的重要决策和工作部署，协调重大工作事项等。</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（二）成立优化营商环境改革工作专班</w:t>
      </w:r>
    </w:p>
    <w:p>
      <w:pPr>
        <w:rPr>
          <w:rFonts w:ascii="仿宋_GB2312" w:eastAsia="仿宋_GB2312"/>
          <w:sz w:val="32"/>
          <w:szCs w:val="32"/>
        </w:rPr>
      </w:pPr>
      <w:r>
        <w:rPr>
          <w:rFonts w:hint="eastAsia" w:ascii="仿宋_GB2312" w:eastAsia="仿宋_GB2312"/>
          <w:sz w:val="32"/>
          <w:szCs w:val="32"/>
        </w:rPr>
        <w:t xml:space="preserve">    工作专班负责完成优化营商环境改革各项工作任务，收集和报送优化营商环境意见建议、典型案例、突出成果和工作亮点，参与优化营商环境专项考核、工作调研、文件起草和机制改革等具体事项。</w:t>
      </w:r>
    </w:p>
    <w:p>
      <w:pPr>
        <w:rPr>
          <w:rFonts w:ascii="黑体" w:hAnsi="黑体" w:eastAsia="黑体"/>
          <w:sz w:val="32"/>
          <w:szCs w:val="32"/>
        </w:rPr>
      </w:pPr>
      <w:r>
        <w:rPr>
          <w:rFonts w:hint="eastAsia" w:ascii="黑体" w:hAnsi="黑体" w:eastAsia="黑体"/>
          <w:sz w:val="32"/>
          <w:szCs w:val="32"/>
        </w:rPr>
        <w:t xml:space="preserve">    三、工作任务</w:t>
      </w:r>
    </w:p>
    <w:p>
      <w:pPr>
        <w:rPr>
          <w:rFonts w:ascii="黑体" w:hAnsi="黑体" w:eastAsia="黑体"/>
          <w:sz w:val="32"/>
          <w:szCs w:val="32"/>
        </w:rPr>
      </w:pPr>
      <w:r>
        <w:rPr>
          <w:rFonts w:hint="eastAsia" w:ascii="黑体" w:hAnsi="黑体" w:eastAsia="黑体"/>
          <w:sz w:val="32"/>
          <w:szCs w:val="32"/>
        </w:rPr>
        <w:t xml:space="preserve">    （一）坚持惩罚犯罪和保护人权相结合，维护安全稳定的社会环境</w:t>
      </w:r>
    </w:p>
    <w:p>
      <w:pPr>
        <w:rPr>
          <w:rFonts w:ascii="黑体" w:hAnsi="黑体" w:eastAsia="黑体"/>
          <w:b/>
          <w:sz w:val="32"/>
          <w:szCs w:val="32"/>
        </w:rPr>
      </w:pPr>
      <w:r>
        <w:rPr>
          <w:rFonts w:hint="eastAsia" w:ascii="仿宋_GB2312" w:eastAsia="仿宋_GB2312"/>
          <w:sz w:val="32"/>
          <w:szCs w:val="32"/>
        </w:rPr>
        <w:t xml:space="preserve">    </w:t>
      </w:r>
      <w:r>
        <w:rPr>
          <w:rFonts w:hint="eastAsia" w:ascii="仿宋_GB2312" w:eastAsia="仿宋_GB2312"/>
          <w:b/>
          <w:sz w:val="32"/>
          <w:szCs w:val="32"/>
        </w:rPr>
        <w:t>1.充分发挥刑事审判职能。</w:t>
      </w:r>
      <w:r>
        <w:rPr>
          <w:rFonts w:hint="eastAsia" w:ascii="仿宋_GB2312" w:eastAsia="仿宋_GB2312"/>
          <w:sz w:val="32"/>
          <w:szCs w:val="32"/>
        </w:rPr>
        <w:t>依法严惩各类危害人民群众生命财产安全的突出犯罪，严惩</w:t>
      </w:r>
      <w:r>
        <w:rPr>
          <w:rFonts w:ascii="仿宋_GB2312" w:eastAsia="仿宋_GB2312"/>
          <w:sz w:val="32"/>
          <w:szCs w:val="32"/>
        </w:rPr>
        <w:t>民营企业内部人员职务侵占、黑恶势力对民营企业敲诈勒索等侵害民营企业合法权益</w:t>
      </w:r>
      <w:r>
        <w:rPr>
          <w:rFonts w:hint="eastAsia" w:ascii="仿宋_GB2312" w:eastAsia="仿宋_GB2312"/>
          <w:sz w:val="32"/>
          <w:szCs w:val="32"/>
        </w:rPr>
        <w:t>的犯罪行为，严惩招商引资、项目审批、税收征管中的行贿受贿、渎职犯罪，为企业在本土专心创业、放心投资、安心经营提供司法保障。</w:t>
      </w:r>
    </w:p>
    <w:p>
      <w:pPr>
        <w:rPr>
          <w:rFonts w:ascii="仿宋_GB2312" w:hAnsi="黑体"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2.严格贯彻审慎谦抑原则。</w:t>
      </w:r>
      <w:r>
        <w:rPr>
          <w:rFonts w:hint="eastAsia" w:ascii="仿宋_GB2312" w:eastAsia="仿宋_GB2312"/>
          <w:sz w:val="32"/>
          <w:szCs w:val="32"/>
        </w:rPr>
        <w:t>正确区分正当融资与非法集资、合同纠纷与合同诈骗、民营企业参与国有企业兼并重组中涉及的经济纠纷与恶意侵占国有资产等的界限，准确认定各类市场主体在生产、经营、融资活动中经济行为的性质，防止利用刑事手段干预经济纠纷。</w:t>
      </w:r>
    </w:p>
    <w:p>
      <w:pPr>
        <w:rPr>
          <w:rFonts w:ascii="黑体" w:hAnsi="黑体" w:eastAsia="黑体"/>
          <w:b/>
          <w:sz w:val="32"/>
          <w:szCs w:val="32"/>
        </w:rPr>
      </w:pPr>
      <w:r>
        <w:rPr>
          <w:rFonts w:hint="eastAsia" w:ascii="仿宋_GB2312" w:eastAsia="仿宋_GB2312"/>
          <w:sz w:val="32"/>
          <w:szCs w:val="32"/>
        </w:rPr>
        <w:t xml:space="preserve">    </w:t>
      </w:r>
      <w:r>
        <w:rPr>
          <w:rFonts w:hint="eastAsia" w:ascii="仿宋_GB2312" w:eastAsia="仿宋_GB2312"/>
          <w:b/>
          <w:sz w:val="32"/>
          <w:szCs w:val="32"/>
        </w:rPr>
        <w:t>3.规范涉案财产处置。</w:t>
      </w:r>
      <w:r>
        <w:rPr>
          <w:rFonts w:hint="eastAsia" w:ascii="仿宋_GB2312" w:eastAsia="仿宋_GB2312"/>
          <w:sz w:val="32"/>
          <w:szCs w:val="32"/>
        </w:rPr>
        <w:t>依法处置非法集资、合同诈骗等刑事犯罪涉案财产，严格区分个人犯罪所得、企业违规违法所得与合法财产、个人财产与企业财产等界限，依法保护企业产权和企业家合法权益。</w:t>
      </w:r>
    </w:p>
    <w:p>
      <w:pPr>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（二）坚持法律效果和社会效果相结合，优化公平有序的市场环境</w:t>
      </w:r>
    </w:p>
    <w:p>
      <w:pPr>
        <w:rPr>
          <w:rFonts w:ascii="仿宋_GB2312" w:hAnsi="黑体" w:eastAsia="仿宋_GB2312"/>
          <w:b/>
          <w:sz w:val="32"/>
          <w:szCs w:val="32"/>
        </w:rPr>
      </w:pPr>
      <w:r>
        <w:rPr>
          <w:rFonts w:hint="eastAsia" w:ascii="仿宋_GB2312" w:eastAsia="仿宋_GB2312"/>
          <w:b/>
          <w:color w:val="FF0000"/>
          <w:sz w:val="32"/>
          <w:szCs w:val="32"/>
        </w:rPr>
        <w:t xml:space="preserve">    </w:t>
      </w:r>
      <w:r>
        <w:rPr>
          <w:rFonts w:hint="eastAsia" w:ascii="仿宋_GB2312" w:eastAsia="仿宋_GB2312"/>
          <w:b/>
          <w:sz w:val="32"/>
          <w:szCs w:val="32"/>
        </w:rPr>
        <w:t>1.加大产权保护力度。</w:t>
      </w:r>
      <w:r>
        <w:rPr>
          <w:rFonts w:hint="eastAsia" w:ascii="仿宋_GB2312" w:eastAsia="仿宋_GB2312"/>
          <w:sz w:val="32"/>
          <w:szCs w:val="32"/>
        </w:rPr>
        <w:t>全面贯彻平等保护不同所有制主体、不同地区市场主体、不同行业利益主体的工作要求，坚持各类市场主体法律地位平等、权利保护平等和发展机会平等的原则，依法妥善处理涉企产权案件，推动形成平等有序的法治化营商环境。</w:t>
      </w:r>
    </w:p>
    <w:p>
      <w:pPr>
        <w:rPr>
          <w:rFonts w:ascii="黑体" w:hAnsi="黑体" w:eastAsia="黑体"/>
          <w:b/>
          <w:sz w:val="32"/>
          <w:szCs w:val="32"/>
        </w:rPr>
      </w:pPr>
      <w:r>
        <w:rPr>
          <w:rFonts w:hint="eastAsia" w:ascii="仿宋_GB2312" w:eastAsia="仿宋_GB2312"/>
          <w:b/>
          <w:color w:val="FF0000"/>
          <w:sz w:val="32"/>
          <w:szCs w:val="32"/>
        </w:rPr>
        <w:t xml:space="preserve">    </w:t>
      </w:r>
      <w:r>
        <w:rPr>
          <w:rFonts w:hint="eastAsia" w:ascii="仿宋_GB2312" w:eastAsia="仿宋_GB2312"/>
          <w:b/>
          <w:sz w:val="32"/>
          <w:szCs w:val="32"/>
        </w:rPr>
        <w:t>2.加强商事金融审判。</w:t>
      </w:r>
      <w:r>
        <w:rPr>
          <w:rFonts w:hint="eastAsia" w:ascii="仿宋_GB2312" w:eastAsia="仿宋_GB2312"/>
          <w:sz w:val="32"/>
          <w:szCs w:val="32"/>
        </w:rPr>
        <w:t>依法审理各类合同案件，尊重和保护市场主体的意思自治，强化市场主体的诚信意识、契约意识、规则意识和责任意识。树立服务实体经济导向，依法审理金融借款、担保、票据、证券、期货、保险、信托、民间借贷等案件，引导和规范各类金融行为，保护合法交易，平衡各方利益。</w:t>
      </w:r>
    </w:p>
    <w:p>
      <w:pPr>
        <w:ind w:firstLine="640"/>
        <w:rPr>
          <w:rFonts w:hint="eastAsia" w:ascii="仿宋_GB2312" w:eastAsia="仿宋_GB2312"/>
          <w:sz w:val="32"/>
          <w:szCs w:val="32"/>
        </w:rPr>
      </w:pPr>
      <w:r>
        <w:rPr>
          <w:rFonts w:hint="eastAsia" w:ascii="仿宋_GB2312" w:eastAsia="仿宋_GB2312"/>
          <w:b/>
          <w:sz w:val="32"/>
          <w:szCs w:val="32"/>
        </w:rPr>
        <w:t>3.加大知识产权保护力度。</w:t>
      </w:r>
      <w:r>
        <w:rPr>
          <w:rFonts w:hint="eastAsia" w:ascii="仿宋_GB2312" w:eastAsia="仿宋_GB2312"/>
          <w:sz w:val="32"/>
          <w:szCs w:val="32"/>
        </w:rPr>
        <w:t>坚持“司法主导、严格保护、分类施策、比例协调”的司法政策，充分发挥知识产权审判职能作用，优化创新创业环境。加强对原创作品、驰名商标和老字号的保护力度，依法审理不正当竞争和垄断纠纷案件，促进新兴产业健康成长，激发企业创业创新潜力。</w:t>
      </w:r>
    </w:p>
    <w:p>
      <w:pPr>
        <w:ind w:firstLine="640" w:firstLineChars="200"/>
        <w:rPr>
          <w:rFonts w:ascii="仿宋_GB2312" w:hAnsi="黑体" w:eastAsia="仿宋_GB2312"/>
          <w:b/>
          <w:sz w:val="32"/>
          <w:szCs w:val="32"/>
        </w:rPr>
      </w:pPr>
      <w:r>
        <w:rPr>
          <w:rFonts w:hint="eastAsia" w:ascii="黑体" w:hAnsi="黑体" w:eastAsia="黑体"/>
          <w:sz w:val="32"/>
          <w:szCs w:val="32"/>
        </w:rPr>
        <w:t xml:space="preserve"> </w:t>
      </w:r>
      <w:r>
        <w:rPr>
          <w:rFonts w:hint="eastAsia" w:ascii="仿宋_GB2312" w:eastAsia="仿宋_GB2312"/>
          <w:b/>
          <w:sz w:val="32"/>
          <w:szCs w:val="32"/>
        </w:rPr>
        <w:t>4.发挥破产审判职能。</w:t>
      </w:r>
      <w:r>
        <w:rPr>
          <w:rFonts w:hint="eastAsia" w:ascii="仿宋_GB2312" w:eastAsia="仿宋_GB2312"/>
          <w:sz w:val="32"/>
          <w:szCs w:val="32"/>
        </w:rPr>
        <w:t>依法审理破产案件，严格规范管理人行为，建立繁简分流机制，将符合条件的简单破产案件纳入快速审理范围，压缩办理周期，提升破产财产处置效率和破产清偿率。总结“僵尸企业”出清和破产审判工作经验，加快有序出清，完善市场主体救治和退出机制。</w:t>
      </w:r>
    </w:p>
    <w:p>
      <w:pPr>
        <w:ind w:firstLine="640"/>
        <w:rPr>
          <w:rFonts w:hint="eastAsia" w:ascii="仿宋_GB2312" w:eastAsia="仿宋_GB2312"/>
          <w:sz w:val="32"/>
          <w:szCs w:val="32"/>
        </w:rPr>
      </w:pPr>
      <w:r>
        <w:rPr>
          <w:rFonts w:hint="eastAsia" w:ascii="仿宋_GB2312" w:eastAsia="仿宋_GB2312"/>
          <w:b/>
          <w:sz w:val="32"/>
          <w:szCs w:val="32"/>
        </w:rPr>
        <w:t>5.高效兑现胜诉权益。</w:t>
      </w:r>
      <w:r>
        <w:rPr>
          <w:rFonts w:hint="eastAsia" w:ascii="仿宋_GB2312" w:eastAsia="仿宋_GB2312"/>
          <w:sz w:val="32"/>
          <w:szCs w:val="32"/>
        </w:rPr>
        <w:t>进一步优化简易执行案件快速执行程序和法律文书，健全繁简分流、事务集约的执行权运行机制。加强速控快执团队建设，推进执行指挥中心实体化运行，强化事务性工作集约化处理，构建快慢分道、职能集约的执行办案模式，激发办案潜能，切实提速增效。</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6.强化善意文明执行理念。</w:t>
      </w:r>
      <w:r>
        <w:rPr>
          <w:rFonts w:hint="eastAsia" w:ascii="仿宋_GB2312" w:eastAsia="仿宋_GB2312"/>
          <w:sz w:val="32"/>
          <w:szCs w:val="32"/>
        </w:rPr>
        <w:t>依法审慎适用强制执行措施，对查封、扣押、冻结的经营性涉案财物，在保证胜诉活动正常进行的同时，允许有关当事人继续合理使用，尽量减少对企业正常生产经营活动可能造成的不当影响。切实加大执行和解力度，综合运用分批分期履行等方式，努力促成执行和解。</w:t>
      </w:r>
    </w:p>
    <w:p>
      <w:pPr>
        <w:rPr>
          <w:rFonts w:ascii="黑体" w:hAnsi="黑体" w:eastAsia="黑体"/>
          <w:sz w:val="32"/>
          <w:szCs w:val="32"/>
        </w:rPr>
      </w:pPr>
      <w:r>
        <w:rPr>
          <w:rFonts w:hint="eastAsia" w:ascii="黑体" w:hAnsi="黑体" w:eastAsia="黑体"/>
          <w:sz w:val="32"/>
          <w:szCs w:val="32"/>
        </w:rPr>
        <w:t xml:space="preserve">    （三）坚持诉讼服务和质效提升相结合，不断满足多元诉讼需求</w:t>
      </w:r>
    </w:p>
    <w:p>
      <w:pPr>
        <w:ind w:firstLine="640"/>
        <w:rPr>
          <w:rFonts w:hint="eastAsia" w:ascii="Times New Roman" w:hAnsi="Times New Roman" w:eastAsia="仿宋_GB2312" w:cs="Times New Roman"/>
          <w:kern w:val="0"/>
          <w:sz w:val="32"/>
          <w:szCs w:val="32"/>
        </w:rPr>
      </w:pPr>
      <w:r>
        <w:rPr>
          <w:rFonts w:hint="eastAsia" w:ascii="仿宋_GB2312" w:hAnsi="黑体" w:eastAsia="仿宋_GB2312"/>
          <w:b/>
          <w:sz w:val="32"/>
          <w:szCs w:val="32"/>
        </w:rPr>
        <w:t>1.推进一站式诉讼服务建设。</w:t>
      </w:r>
      <w:r>
        <w:rPr>
          <w:rFonts w:ascii="Times New Roman" w:hAnsi="Times New Roman" w:eastAsia="仿宋_GB2312" w:cs="Times New Roman"/>
          <w:kern w:val="0"/>
          <w:sz w:val="32"/>
          <w:szCs w:val="32"/>
        </w:rPr>
        <w:t>加强诉讼服务标准化建设，以一站通办、一网通办、一号通办、一次通办为目标，全面梳理服务项目清单，逐项制定标准化工作规程和一次性办理服务指南，</w:t>
      </w:r>
      <w:r>
        <w:rPr>
          <w:rFonts w:hint="eastAsia" w:ascii="Times New Roman" w:hAnsi="Times New Roman" w:eastAsia="仿宋_GB2312" w:cs="Times New Roman"/>
          <w:kern w:val="0"/>
          <w:sz w:val="32"/>
          <w:szCs w:val="32"/>
        </w:rPr>
        <w:t>畅通</w:t>
      </w:r>
      <w:r>
        <w:rPr>
          <w:rFonts w:ascii="Times New Roman" w:hAnsi="Times New Roman" w:eastAsia="仿宋_GB2312" w:cs="Times New Roman"/>
          <w:kern w:val="0"/>
          <w:sz w:val="32"/>
          <w:szCs w:val="32"/>
        </w:rPr>
        <w:t>立体化诉讼服务渠道</w:t>
      </w:r>
      <w:r>
        <w:rPr>
          <w:rFonts w:hint="eastAsia" w:ascii="Times New Roman" w:hAnsi="Times New Roman" w:eastAsia="仿宋_GB2312" w:cs="Times New Roman"/>
          <w:kern w:val="0"/>
          <w:sz w:val="32"/>
          <w:szCs w:val="32"/>
        </w:rPr>
        <w:t>。</w:t>
      </w:r>
    </w:p>
    <w:p>
      <w:pPr>
        <w:ind w:firstLine="640"/>
        <w:rPr>
          <w:rFonts w:ascii="仿宋_GB2312" w:hAnsi="黑体" w:eastAsia="仿宋_GB2312"/>
          <w:b/>
          <w:sz w:val="32"/>
          <w:szCs w:val="32"/>
        </w:rPr>
      </w:pPr>
      <w:r>
        <w:rPr>
          <w:rFonts w:hint="eastAsia" w:ascii="仿宋_GB2312" w:hAnsi="黑体" w:eastAsia="仿宋_GB2312"/>
          <w:b/>
          <w:sz w:val="32"/>
          <w:szCs w:val="32"/>
        </w:rPr>
        <w:t>2.推动诉源治理向纵深发展。</w:t>
      </w:r>
      <w:r>
        <w:rPr>
          <w:rFonts w:hint="eastAsia" w:ascii="仿宋_GB2312" w:eastAsia="仿宋_GB2312"/>
          <w:sz w:val="32"/>
          <w:szCs w:val="32"/>
        </w:rPr>
        <w:t>主动融入基层解纷网络建设，实现与党政基层组织、政法单位、自治组织、调解组织的无缝对接，构建更加开放、多元共治的诉讼前端纠纷解决机制；继续推动在街道（社区）建立工作站等诉讼服务点，                                                                  提供普法宣传、法律培训、业务指导、诉讼风险评估等，使法院工作向纠纷源头延伸。</w:t>
      </w:r>
    </w:p>
    <w:p>
      <w:pPr>
        <w:ind w:firstLine="642" w:firstLineChars="200"/>
        <w:rPr>
          <w:rFonts w:ascii="仿宋_GB2312" w:hAnsi="黑体" w:eastAsia="仿宋_GB2312"/>
          <w:sz w:val="32"/>
          <w:szCs w:val="32"/>
        </w:rPr>
      </w:pPr>
      <w:r>
        <w:rPr>
          <w:rFonts w:hint="eastAsia" w:ascii="仿宋_GB2312" w:hAnsi="黑体" w:eastAsia="仿宋_GB2312"/>
          <w:b/>
          <w:sz w:val="32"/>
          <w:szCs w:val="32"/>
        </w:rPr>
        <w:t>3.推进诉讼服务“线上办”。</w:t>
      </w:r>
      <w:r>
        <w:rPr>
          <w:rFonts w:hint="eastAsia" w:ascii="仿宋_GB2312" w:eastAsia="仿宋_GB2312"/>
          <w:sz w:val="32"/>
          <w:szCs w:val="32"/>
        </w:rPr>
        <w:t>以信息化为核心，依托“广东法院诉讼服务网”、“深圳移动微法院”、“深融多元化平台”、“电子卷宗”等平台办理业务，提升网上立案、缴退费、调解、信访、开庭、送达、阅卷的应用率。实现网上立案率达 90%以上，网上缴费率达 60%以上。</w:t>
      </w:r>
    </w:p>
    <w:p>
      <w:pPr>
        <w:ind w:firstLine="642" w:firstLineChars="200"/>
        <w:rPr>
          <w:rFonts w:hint="eastAsia" w:ascii="Times New Roman" w:hAnsi="Times New Roman" w:eastAsia="仿宋_GB2312" w:cs="Times New Roman"/>
          <w:kern w:val="0"/>
          <w:sz w:val="32"/>
          <w:szCs w:val="32"/>
        </w:rPr>
      </w:pPr>
      <w:r>
        <w:rPr>
          <w:rFonts w:hint="eastAsia" w:ascii="仿宋_GB2312" w:hAnsi="黑体" w:eastAsia="仿宋_GB2312"/>
          <w:b/>
          <w:sz w:val="32"/>
          <w:szCs w:val="32"/>
        </w:rPr>
        <w:t>4.</w:t>
      </w:r>
      <w:r>
        <w:rPr>
          <w:rFonts w:ascii="仿宋_GB2312" w:hAnsi="黑体" w:eastAsia="仿宋_GB2312"/>
          <w:b/>
          <w:sz w:val="32"/>
          <w:szCs w:val="32"/>
        </w:rPr>
        <w:t>加强审判流程监督管理。</w:t>
      </w:r>
      <w:r>
        <w:rPr>
          <w:rFonts w:ascii="Times New Roman" w:hAnsi="Times New Roman" w:eastAsia="仿宋_GB2312" w:cs="Times New Roman"/>
          <w:kern w:val="0"/>
          <w:sz w:val="32"/>
          <w:szCs w:val="32"/>
        </w:rPr>
        <w:t>牢固树立全周期审判管理理念，强化审判流程管理，完善“及时排期、当庭宣判、定期合议、限期裁判”的规范化审判流程。加强对立案、分案、排期、庭前准备、裁判、送达、归档等全周期、全流程管理，</w:t>
      </w:r>
      <w:r>
        <w:rPr>
          <w:rFonts w:hint="eastAsia" w:ascii="Times New Roman" w:hAnsi="Times New Roman" w:eastAsia="仿宋_GB2312" w:cs="Times New Roman"/>
          <w:kern w:val="0"/>
          <w:sz w:val="32"/>
          <w:szCs w:val="32"/>
        </w:rPr>
        <w:t>切实提升审判效率管理水平。</w:t>
      </w:r>
    </w:p>
    <w:p>
      <w:pPr>
        <w:ind w:firstLine="642" w:firstLineChars="200"/>
        <w:rPr>
          <w:rFonts w:hint="eastAsia" w:ascii="仿宋_GB2312" w:hAnsi="黑体" w:eastAsia="仿宋_GB2312"/>
          <w:sz w:val="32"/>
          <w:szCs w:val="32"/>
        </w:rPr>
      </w:pPr>
      <w:r>
        <w:rPr>
          <w:rFonts w:hint="eastAsia" w:ascii="仿宋_GB2312" w:hAnsi="黑体" w:eastAsia="仿宋_GB2312"/>
          <w:b/>
          <w:sz w:val="32"/>
          <w:szCs w:val="32"/>
        </w:rPr>
        <w:t>5.推进案件繁简分流。</w:t>
      </w:r>
      <w:r>
        <w:rPr>
          <w:rFonts w:hint="eastAsia" w:ascii="仿宋_GB2312" w:hAnsi="黑体" w:eastAsia="仿宋_GB2312"/>
          <w:sz w:val="32"/>
          <w:szCs w:val="32"/>
        </w:rPr>
        <w:t>着重减轻企业诉累，深化繁简分流改革，切实做到简案快审，难案精审，缩短涉企案件诉讼周期，避免久拖不决，降低企业诉讼成本。用足用好小额诉讼程序、简易程序、速裁程序，进一步提高审判效率。</w:t>
      </w:r>
    </w:p>
    <w:p>
      <w:pPr>
        <w:ind w:firstLine="642" w:firstLineChars="200"/>
        <w:rPr>
          <w:rFonts w:hint="eastAsia" w:ascii="Times New Roman" w:hAnsi="Times New Roman" w:eastAsia="仿宋_GB2312" w:cs="Times New Roman"/>
          <w:kern w:val="0"/>
          <w:sz w:val="32"/>
          <w:szCs w:val="32"/>
        </w:rPr>
      </w:pPr>
      <w:r>
        <w:rPr>
          <w:rFonts w:hint="eastAsia" w:ascii="仿宋_GB2312" w:hAnsi="黑体" w:eastAsia="仿宋_GB2312"/>
          <w:b/>
          <w:sz w:val="32"/>
          <w:szCs w:val="32"/>
        </w:rPr>
        <w:t>6.狠抓双超案件清理。</w:t>
      </w:r>
      <w:r>
        <w:rPr>
          <w:rFonts w:hint="eastAsia" w:ascii="仿宋_GB2312" w:hAnsi="黑体" w:eastAsia="仿宋_GB2312"/>
          <w:sz w:val="32"/>
          <w:szCs w:val="32"/>
        </w:rPr>
        <w:t>持续开展顽瘴痼疾整治活动，切实整治案件久拖不决的问题，有效解决超审限长期未结案件</w:t>
      </w:r>
      <w:r>
        <w:rPr>
          <w:rFonts w:hint="eastAsia" w:ascii="Times New Roman" w:hAnsi="Times New Roman" w:eastAsia="仿宋_GB2312" w:cs="Times New Roman"/>
          <w:kern w:val="0"/>
          <w:sz w:val="32"/>
          <w:szCs w:val="32"/>
        </w:rPr>
        <w:t>边清边积和上诉案件超期移送“双超”案件等系列问题，</w:t>
      </w:r>
      <w:r>
        <w:rPr>
          <w:rFonts w:ascii="Times New Roman" w:hAnsi="Times New Roman" w:eastAsia="仿宋_GB2312" w:cs="Times New Roman"/>
          <w:kern w:val="0"/>
          <w:sz w:val="32"/>
          <w:szCs w:val="32"/>
        </w:rPr>
        <w:t>强化制度刚性约束，明确目标，分解任务，压实责任，</w:t>
      </w:r>
      <w:r>
        <w:rPr>
          <w:rFonts w:hint="eastAsia" w:ascii="Times New Roman" w:hAnsi="Times New Roman" w:eastAsia="仿宋_GB2312" w:cs="Times New Roman"/>
          <w:kern w:val="0"/>
          <w:sz w:val="32"/>
          <w:szCs w:val="32"/>
        </w:rPr>
        <w:t>全面整治超审限长期未结案件、上诉案件超期移送等问题。</w:t>
      </w:r>
    </w:p>
    <w:p>
      <w:pPr>
        <w:ind w:firstLine="640" w:firstLineChars="200"/>
        <w:rPr>
          <w:rFonts w:hint="default" w:ascii="仿宋_GB2312" w:hAnsi="黑体" w:eastAsia="仿宋_GB2312"/>
          <w:b w:val="0"/>
          <w:bCs/>
          <w:sz w:val="32"/>
          <w:szCs w:val="32"/>
          <w:lang w:val="en-US" w:eastAsia="zh-CN"/>
        </w:rPr>
      </w:pPr>
      <w:r>
        <w:rPr>
          <w:rFonts w:hint="eastAsia" w:ascii="仿宋_GB2312" w:hAnsi="黑体" w:eastAsia="仿宋_GB2312"/>
          <w:b w:val="0"/>
          <w:bCs/>
          <w:sz w:val="32"/>
          <w:szCs w:val="32"/>
          <w:lang w:eastAsia="zh-CN"/>
        </w:rPr>
        <w:t>本方案自</w:t>
      </w:r>
      <w:r>
        <w:rPr>
          <w:rFonts w:hint="eastAsia" w:ascii="仿宋_GB2312" w:hAnsi="黑体" w:eastAsia="仿宋_GB2312"/>
          <w:b w:val="0"/>
          <w:bCs/>
          <w:sz w:val="32"/>
          <w:szCs w:val="32"/>
          <w:lang w:val="en-US" w:eastAsia="zh-CN"/>
        </w:rPr>
        <w:t>2022年11月25日起施行。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仿宋简体">
    <w:altName w:val="方正仿宋_GBK"/>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7980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3F"/>
    <w:rsid w:val="000006C6"/>
    <w:rsid w:val="00002097"/>
    <w:rsid w:val="00002DCA"/>
    <w:rsid w:val="00004E07"/>
    <w:rsid w:val="00007F0B"/>
    <w:rsid w:val="00012B4E"/>
    <w:rsid w:val="0002136D"/>
    <w:rsid w:val="0003754A"/>
    <w:rsid w:val="0004670D"/>
    <w:rsid w:val="00047795"/>
    <w:rsid w:val="00050C13"/>
    <w:rsid w:val="00050F22"/>
    <w:rsid w:val="00052015"/>
    <w:rsid w:val="00053714"/>
    <w:rsid w:val="00060D0F"/>
    <w:rsid w:val="00061565"/>
    <w:rsid w:val="00067D43"/>
    <w:rsid w:val="00073726"/>
    <w:rsid w:val="00073BC6"/>
    <w:rsid w:val="00077F76"/>
    <w:rsid w:val="0008053F"/>
    <w:rsid w:val="00082D54"/>
    <w:rsid w:val="0008778E"/>
    <w:rsid w:val="00087C27"/>
    <w:rsid w:val="0009769D"/>
    <w:rsid w:val="00097A13"/>
    <w:rsid w:val="000A1533"/>
    <w:rsid w:val="000A3D77"/>
    <w:rsid w:val="000A7723"/>
    <w:rsid w:val="000A7906"/>
    <w:rsid w:val="000A7E53"/>
    <w:rsid w:val="000B02D2"/>
    <w:rsid w:val="000B047D"/>
    <w:rsid w:val="000B4238"/>
    <w:rsid w:val="000C4704"/>
    <w:rsid w:val="000C53E0"/>
    <w:rsid w:val="000C696D"/>
    <w:rsid w:val="000D18BE"/>
    <w:rsid w:val="000D2C56"/>
    <w:rsid w:val="000D30A2"/>
    <w:rsid w:val="000D6F77"/>
    <w:rsid w:val="000E16B1"/>
    <w:rsid w:val="000E3072"/>
    <w:rsid w:val="000F0C1F"/>
    <w:rsid w:val="000F0EA4"/>
    <w:rsid w:val="000F74DA"/>
    <w:rsid w:val="00100B21"/>
    <w:rsid w:val="00101472"/>
    <w:rsid w:val="00103EA7"/>
    <w:rsid w:val="00121A81"/>
    <w:rsid w:val="00135C04"/>
    <w:rsid w:val="001362B8"/>
    <w:rsid w:val="001364C6"/>
    <w:rsid w:val="0014550D"/>
    <w:rsid w:val="00146BD2"/>
    <w:rsid w:val="00154471"/>
    <w:rsid w:val="00155D45"/>
    <w:rsid w:val="00156BC3"/>
    <w:rsid w:val="0016086D"/>
    <w:rsid w:val="001629F9"/>
    <w:rsid w:val="00172999"/>
    <w:rsid w:val="0018562F"/>
    <w:rsid w:val="0019258B"/>
    <w:rsid w:val="00194448"/>
    <w:rsid w:val="0019770B"/>
    <w:rsid w:val="001A04A5"/>
    <w:rsid w:val="001A67DA"/>
    <w:rsid w:val="001A692B"/>
    <w:rsid w:val="001A76C2"/>
    <w:rsid w:val="001B0075"/>
    <w:rsid w:val="001B5455"/>
    <w:rsid w:val="001B5AF0"/>
    <w:rsid w:val="001B701C"/>
    <w:rsid w:val="001C39DC"/>
    <w:rsid w:val="001C7B43"/>
    <w:rsid w:val="001D1306"/>
    <w:rsid w:val="001D711E"/>
    <w:rsid w:val="001E3AFA"/>
    <w:rsid w:val="001F0839"/>
    <w:rsid w:val="001F1F6E"/>
    <w:rsid w:val="001F31C9"/>
    <w:rsid w:val="001F3CC2"/>
    <w:rsid w:val="001F4EA2"/>
    <w:rsid w:val="002010B2"/>
    <w:rsid w:val="00203A07"/>
    <w:rsid w:val="00203AE3"/>
    <w:rsid w:val="00204A5C"/>
    <w:rsid w:val="00213A68"/>
    <w:rsid w:val="0022143D"/>
    <w:rsid w:val="0022359A"/>
    <w:rsid w:val="00223E6F"/>
    <w:rsid w:val="00226F0A"/>
    <w:rsid w:val="00231FFC"/>
    <w:rsid w:val="0023350A"/>
    <w:rsid w:val="00234833"/>
    <w:rsid w:val="00236F5D"/>
    <w:rsid w:val="002411C1"/>
    <w:rsid w:val="00251A83"/>
    <w:rsid w:val="0025538C"/>
    <w:rsid w:val="002572A2"/>
    <w:rsid w:val="0025748A"/>
    <w:rsid w:val="00257FD5"/>
    <w:rsid w:val="00263586"/>
    <w:rsid w:val="0026527C"/>
    <w:rsid w:val="0027254D"/>
    <w:rsid w:val="00276618"/>
    <w:rsid w:val="00281E55"/>
    <w:rsid w:val="00285615"/>
    <w:rsid w:val="00292259"/>
    <w:rsid w:val="00293367"/>
    <w:rsid w:val="002A0B93"/>
    <w:rsid w:val="002A19B3"/>
    <w:rsid w:val="002A5A85"/>
    <w:rsid w:val="002B0468"/>
    <w:rsid w:val="002B0828"/>
    <w:rsid w:val="002B30E7"/>
    <w:rsid w:val="002B68B2"/>
    <w:rsid w:val="002C036F"/>
    <w:rsid w:val="002C41ED"/>
    <w:rsid w:val="002D37E9"/>
    <w:rsid w:val="002D4337"/>
    <w:rsid w:val="002D4462"/>
    <w:rsid w:val="002E0F44"/>
    <w:rsid w:val="002F13C8"/>
    <w:rsid w:val="002F18CD"/>
    <w:rsid w:val="002F3AA3"/>
    <w:rsid w:val="002F5EB2"/>
    <w:rsid w:val="002F6197"/>
    <w:rsid w:val="002F7F26"/>
    <w:rsid w:val="00300420"/>
    <w:rsid w:val="00302B35"/>
    <w:rsid w:val="00313BD6"/>
    <w:rsid w:val="003214B2"/>
    <w:rsid w:val="00325165"/>
    <w:rsid w:val="0033050B"/>
    <w:rsid w:val="00336549"/>
    <w:rsid w:val="00337C6A"/>
    <w:rsid w:val="003407B4"/>
    <w:rsid w:val="00341312"/>
    <w:rsid w:val="003433CE"/>
    <w:rsid w:val="00344387"/>
    <w:rsid w:val="003474F8"/>
    <w:rsid w:val="00347667"/>
    <w:rsid w:val="00352552"/>
    <w:rsid w:val="003530AF"/>
    <w:rsid w:val="0035734B"/>
    <w:rsid w:val="0036061E"/>
    <w:rsid w:val="0036193F"/>
    <w:rsid w:val="00363D37"/>
    <w:rsid w:val="003659F8"/>
    <w:rsid w:val="003720E0"/>
    <w:rsid w:val="003768C3"/>
    <w:rsid w:val="00377A74"/>
    <w:rsid w:val="00383C02"/>
    <w:rsid w:val="003862B6"/>
    <w:rsid w:val="0038648E"/>
    <w:rsid w:val="0039126C"/>
    <w:rsid w:val="0039566F"/>
    <w:rsid w:val="00395EA1"/>
    <w:rsid w:val="00397291"/>
    <w:rsid w:val="003A243A"/>
    <w:rsid w:val="003A2DF6"/>
    <w:rsid w:val="003A740A"/>
    <w:rsid w:val="003B1536"/>
    <w:rsid w:val="003B16EA"/>
    <w:rsid w:val="003B2C7C"/>
    <w:rsid w:val="003B3E5E"/>
    <w:rsid w:val="003B5FF4"/>
    <w:rsid w:val="003C71C7"/>
    <w:rsid w:val="003D0944"/>
    <w:rsid w:val="003D49A1"/>
    <w:rsid w:val="003D5A9F"/>
    <w:rsid w:val="003D795B"/>
    <w:rsid w:val="003E181D"/>
    <w:rsid w:val="003E1F27"/>
    <w:rsid w:val="003E3856"/>
    <w:rsid w:val="003E76D4"/>
    <w:rsid w:val="003E7878"/>
    <w:rsid w:val="003F02AC"/>
    <w:rsid w:val="003F2809"/>
    <w:rsid w:val="00411EDC"/>
    <w:rsid w:val="00415C6F"/>
    <w:rsid w:val="0041678E"/>
    <w:rsid w:val="00417177"/>
    <w:rsid w:val="004269B0"/>
    <w:rsid w:val="00427FB7"/>
    <w:rsid w:val="00430B81"/>
    <w:rsid w:val="00431819"/>
    <w:rsid w:val="00431BC2"/>
    <w:rsid w:val="00433D0C"/>
    <w:rsid w:val="00434525"/>
    <w:rsid w:val="00435A7A"/>
    <w:rsid w:val="004408EE"/>
    <w:rsid w:val="004414CA"/>
    <w:rsid w:val="004431B5"/>
    <w:rsid w:val="0044781A"/>
    <w:rsid w:val="00450150"/>
    <w:rsid w:val="00450EDA"/>
    <w:rsid w:val="00452D42"/>
    <w:rsid w:val="004552CB"/>
    <w:rsid w:val="00456C17"/>
    <w:rsid w:val="00460855"/>
    <w:rsid w:val="004700DA"/>
    <w:rsid w:val="004750BF"/>
    <w:rsid w:val="00486209"/>
    <w:rsid w:val="00493364"/>
    <w:rsid w:val="00494C7B"/>
    <w:rsid w:val="00497D87"/>
    <w:rsid w:val="004A346D"/>
    <w:rsid w:val="004A7FF8"/>
    <w:rsid w:val="004B4205"/>
    <w:rsid w:val="004C3BE4"/>
    <w:rsid w:val="004D46C1"/>
    <w:rsid w:val="004D7A0C"/>
    <w:rsid w:val="004E19F4"/>
    <w:rsid w:val="004E20B3"/>
    <w:rsid w:val="004E409D"/>
    <w:rsid w:val="004E5BA3"/>
    <w:rsid w:val="004E7831"/>
    <w:rsid w:val="004F2C26"/>
    <w:rsid w:val="0050073D"/>
    <w:rsid w:val="00500DA9"/>
    <w:rsid w:val="00501C04"/>
    <w:rsid w:val="00506F1E"/>
    <w:rsid w:val="00507747"/>
    <w:rsid w:val="00507F78"/>
    <w:rsid w:val="005114F6"/>
    <w:rsid w:val="00511770"/>
    <w:rsid w:val="005136E6"/>
    <w:rsid w:val="00517646"/>
    <w:rsid w:val="00527707"/>
    <w:rsid w:val="005347F4"/>
    <w:rsid w:val="005402B4"/>
    <w:rsid w:val="00541AB5"/>
    <w:rsid w:val="0054379A"/>
    <w:rsid w:val="00543D99"/>
    <w:rsid w:val="00545873"/>
    <w:rsid w:val="00547ABC"/>
    <w:rsid w:val="00550A69"/>
    <w:rsid w:val="005624E6"/>
    <w:rsid w:val="005728BA"/>
    <w:rsid w:val="005861DD"/>
    <w:rsid w:val="00592027"/>
    <w:rsid w:val="00593980"/>
    <w:rsid w:val="005A0025"/>
    <w:rsid w:val="005A08CC"/>
    <w:rsid w:val="005A210D"/>
    <w:rsid w:val="005A499B"/>
    <w:rsid w:val="005A7EB4"/>
    <w:rsid w:val="005B1EEC"/>
    <w:rsid w:val="005B3949"/>
    <w:rsid w:val="005C4A46"/>
    <w:rsid w:val="005C6F10"/>
    <w:rsid w:val="005D6F49"/>
    <w:rsid w:val="005E3197"/>
    <w:rsid w:val="005E40C9"/>
    <w:rsid w:val="005F69B7"/>
    <w:rsid w:val="005F790A"/>
    <w:rsid w:val="00600ABD"/>
    <w:rsid w:val="00602419"/>
    <w:rsid w:val="00605F34"/>
    <w:rsid w:val="0060679D"/>
    <w:rsid w:val="00625EA7"/>
    <w:rsid w:val="006262F0"/>
    <w:rsid w:val="006271C6"/>
    <w:rsid w:val="0063175F"/>
    <w:rsid w:val="00633F3F"/>
    <w:rsid w:val="006363E2"/>
    <w:rsid w:val="00637DCA"/>
    <w:rsid w:val="006405C4"/>
    <w:rsid w:val="006424C9"/>
    <w:rsid w:val="00651113"/>
    <w:rsid w:val="0065348F"/>
    <w:rsid w:val="00660557"/>
    <w:rsid w:val="00664098"/>
    <w:rsid w:val="0067130C"/>
    <w:rsid w:val="00680000"/>
    <w:rsid w:val="00684B8F"/>
    <w:rsid w:val="006901E9"/>
    <w:rsid w:val="00691481"/>
    <w:rsid w:val="006A2ED6"/>
    <w:rsid w:val="006B20D9"/>
    <w:rsid w:val="006B45EE"/>
    <w:rsid w:val="006B4AC8"/>
    <w:rsid w:val="006C0FB5"/>
    <w:rsid w:val="006D2CF1"/>
    <w:rsid w:val="006D63C6"/>
    <w:rsid w:val="006D6FF2"/>
    <w:rsid w:val="006E4476"/>
    <w:rsid w:val="006E7412"/>
    <w:rsid w:val="006F3DC7"/>
    <w:rsid w:val="0071378D"/>
    <w:rsid w:val="00716656"/>
    <w:rsid w:val="0071691E"/>
    <w:rsid w:val="00721997"/>
    <w:rsid w:val="00724F9A"/>
    <w:rsid w:val="00725742"/>
    <w:rsid w:val="007271F5"/>
    <w:rsid w:val="00730D3D"/>
    <w:rsid w:val="00734A28"/>
    <w:rsid w:val="007366F5"/>
    <w:rsid w:val="00745203"/>
    <w:rsid w:val="00745D82"/>
    <w:rsid w:val="0074690C"/>
    <w:rsid w:val="007474EE"/>
    <w:rsid w:val="007520D8"/>
    <w:rsid w:val="00757142"/>
    <w:rsid w:val="00761640"/>
    <w:rsid w:val="00761CAC"/>
    <w:rsid w:val="00765F80"/>
    <w:rsid w:val="00767FE3"/>
    <w:rsid w:val="007706ED"/>
    <w:rsid w:val="00771A90"/>
    <w:rsid w:val="00774EE1"/>
    <w:rsid w:val="00780E84"/>
    <w:rsid w:val="00781B76"/>
    <w:rsid w:val="00785260"/>
    <w:rsid w:val="00792633"/>
    <w:rsid w:val="00794642"/>
    <w:rsid w:val="00794D58"/>
    <w:rsid w:val="007A299D"/>
    <w:rsid w:val="007B0BA8"/>
    <w:rsid w:val="007B221E"/>
    <w:rsid w:val="007B3290"/>
    <w:rsid w:val="007B3C36"/>
    <w:rsid w:val="007B757D"/>
    <w:rsid w:val="007B77A1"/>
    <w:rsid w:val="007C0EF7"/>
    <w:rsid w:val="007C24CD"/>
    <w:rsid w:val="007D0156"/>
    <w:rsid w:val="007D0F3A"/>
    <w:rsid w:val="007D6C7E"/>
    <w:rsid w:val="007E1FF1"/>
    <w:rsid w:val="007E391A"/>
    <w:rsid w:val="007E7771"/>
    <w:rsid w:val="007F3617"/>
    <w:rsid w:val="007F7AB5"/>
    <w:rsid w:val="00802320"/>
    <w:rsid w:val="00811C13"/>
    <w:rsid w:val="008238D3"/>
    <w:rsid w:val="00824FF8"/>
    <w:rsid w:val="00837410"/>
    <w:rsid w:val="008420D6"/>
    <w:rsid w:val="008437A6"/>
    <w:rsid w:val="00843EE4"/>
    <w:rsid w:val="00844C3F"/>
    <w:rsid w:val="00850BBC"/>
    <w:rsid w:val="008519AE"/>
    <w:rsid w:val="008545C1"/>
    <w:rsid w:val="00863D55"/>
    <w:rsid w:val="00864D5D"/>
    <w:rsid w:val="00870879"/>
    <w:rsid w:val="00871892"/>
    <w:rsid w:val="008741C7"/>
    <w:rsid w:val="00877B6A"/>
    <w:rsid w:val="00880BEB"/>
    <w:rsid w:val="00880FE4"/>
    <w:rsid w:val="00881AAB"/>
    <w:rsid w:val="00884EFC"/>
    <w:rsid w:val="00887767"/>
    <w:rsid w:val="00887A36"/>
    <w:rsid w:val="00887E72"/>
    <w:rsid w:val="00894AA6"/>
    <w:rsid w:val="00894CBC"/>
    <w:rsid w:val="0089675A"/>
    <w:rsid w:val="00897845"/>
    <w:rsid w:val="008A1EBD"/>
    <w:rsid w:val="008A356F"/>
    <w:rsid w:val="008B5202"/>
    <w:rsid w:val="008C3AC8"/>
    <w:rsid w:val="008D3F56"/>
    <w:rsid w:val="008D4019"/>
    <w:rsid w:val="008D6711"/>
    <w:rsid w:val="008E00E6"/>
    <w:rsid w:val="008E6A25"/>
    <w:rsid w:val="008F1D0A"/>
    <w:rsid w:val="008F21B7"/>
    <w:rsid w:val="008F7692"/>
    <w:rsid w:val="008F7BC4"/>
    <w:rsid w:val="0090411F"/>
    <w:rsid w:val="00907B5D"/>
    <w:rsid w:val="009135C6"/>
    <w:rsid w:val="00917A26"/>
    <w:rsid w:val="00930F98"/>
    <w:rsid w:val="009319F2"/>
    <w:rsid w:val="00932F4F"/>
    <w:rsid w:val="00956B31"/>
    <w:rsid w:val="00962118"/>
    <w:rsid w:val="00962C1C"/>
    <w:rsid w:val="00962FDF"/>
    <w:rsid w:val="009637B6"/>
    <w:rsid w:val="0096568E"/>
    <w:rsid w:val="00973098"/>
    <w:rsid w:val="0097520D"/>
    <w:rsid w:val="00975842"/>
    <w:rsid w:val="00975C20"/>
    <w:rsid w:val="00977675"/>
    <w:rsid w:val="009800B9"/>
    <w:rsid w:val="009824FA"/>
    <w:rsid w:val="0098358D"/>
    <w:rsid w:val="00985E5B"/>
    <w:rsid w:val="00992CCC"/>
    <w:rsid w:val="0099721B"/>
    <w:rsid w:val="00997C0A"/>
    <w:rsid w:val="00997E67"/>
    <w:rsid w:val="009A1AB6"/>
    <w:rsid w:val="009A75A7"/>
    <w:rsid w:val="009A7D95"/>
    <w:rsid w:val="009B26E3"/>
    <w:rsid w:val="009B3CE4"/>
    <w:rsid w:val="009C4754"/>
    <w:rsid w:val="009C6973"/>
    <w:rsid w:val="009C6FF1"/>
    <w:rsid w:val="009D1F63"/>
    <w:rsid w:val="009D2576"/>
    <w:rsid w:val="009D456F"/>
    <w:rsid w:val="009D50F5"/>
    <w:rsid w:val="009E0280"/>
    <w:rsid w:val="009E05C3"/>
    <w:rsid w:val="009E1564"/>
    <w:rsid w:val="009E637A"/>
    <w:rsid w:val="009E6F4F"/>
    <w:rsid w:val="009F3A1E"/>
    <w:rsid w:val="00A0205E"/>
    <w:rsid w:val="00A02239"/>
    <w:rsid w:val="00A053D5"/>
    <w:rsid w:val="00A0580D"/>
    <w:rsid w:val="00A1085D"/>
    <w:rsid w:val="00A157A4"/>
    <w:rsid w:val="00A20CF6"/>
    <w:rsid w:val="00A222EA"/>
    <w:rsid w:val="00A24D1F"/>
    <w:rsid w:val="00A31A57"/>
    <w:rsid w:val="00A3232F"/>
    <w:rsid w:val="00A473FD"/>
    <w:rsid w:val="00A511F2"/>
    <w:rsid w:val="00A52402"/>
    <w:rsid w:val="00A53517"/>
    <w:rsid w:val="00A67801"/>
    <w:rsid w:val="00A67A85"/>
    <w:rsid w:val="00A72246"/>
    <w:rsid w:val="00A76759"/>
    <w:rsid w:val="00A82544"/>
    <w:rsid w:val="00A96D03"/>
    <w:rsid w:val="00AA668E"/>
    <w:rsid w:val="00AA67AD"/>
    <w:rsid w:val="00AB00F3"/>
    <w:rsid w:val="00AB0800"/>
    <w:rsid w:val="00AB1B10"/>
    <w:rsid w:val="00AC0AB7"/>
    <w:rsid w:val="00AC3923"/>
    <w:rsid w:val="00AD21BC"/>
    <w:rsid w:val="00AE2272"/>
    <w:rsid w:val="00AF1F78"/>
    <w:rsid w:val="00AF3523"/>
    <w:rsid w:val="00B00324"/>
    <w:rsid w:val="00B00845"/>
    <w:rsid w:val="00B03BB8"/>
    <w:rsid w:val="00B03FF0"/>
    <w:rsid w:val="00B068B1"/>
    <w:rsid w:val="00B150F3"/>
    <w:rsid w:val="00B172FF"/>
    <w:rsid w:val="00B17624"/>
    <w:rsid w:val="00B17831"/>
    <w:rsid w:val="00B21259"/>
    <w:rsid w:val="00B27941"/>
    <w:rsid w:val="00B333EF"/>
    <w:rsid w:val="00B347FA"/>
    <w:rsid w:val="00B36884"/>
    <w:rsid w:val="00B47123"/>
    <w:rsid w:val="00B47326"/>
    <w:rsid w:val="00B547C4"/>
    <w:rsid w:val="00B55872"/>
    <w:rsid w:val="00B62D9B"/>
    <w:rsid w:val="00B63236"/>
    <w:rsid w:val="00B64EAB"/>
    <w:rsid w:val="00B734B0"/>
    <w:rsid w:val="00B815AF"/>
    <w:rsid w:val="00B81836"/>
    <w:rsid w:val="00B81B45"/>
    <w:rsid w:val="00B83EAB"/>
    <w:rsid w:val="00B85D64"/>
    <w:rsid w:val="00B9020D"/>
    <w:rsid w:val="00BA3C70"/>
    <w:rsid w:val="00BA461B"/>
    <w:rsid w:val="00BA63CB"/>
    <w:rsid w:val="00BA7901"/>
    <w:rsid w:val="00BB7460"/>
    <w:rsid w:val="00BC089D"/>
    <w:rsid w:val="00BC2ED5"/>
    <w:rsid w:val="00BC50EA"/>
    <w:rsid w:val="00BD043C"/>
    <w:rsid w:val="00BD0CA2"/>
    <w:rsid w:val="00BD2978"/>
    <w:rsid w:val="00BD55F0"/>
    <w:rsid w:val="00BE188C"/>
    <w:rsid w:val="00BE1BF6"/>
    <w:rsid w:val="00BE4C28"/>
    <w:rsid w:val="00BE4EF9"/>
    <w:rsid w:val="00C00A42"/>
    <w:rsid w:val="00C04FDA"/>
    <w:rsid w:val="00C11EFA"/>
    <w:rsid w:val="00C13CDF"/>
    <w:rsid w:val="00C13F74"/>
    <w:rsid w:val="00C21F03"/>
    <w:rsid w:val="00C23BD0"/>
    <w:rsid w:val="00C25685"/>
    <w:rsid w:val="00C27281"/>
    <w:rsid w:val="00C27329"/>
    <w:rsid w:val="00C2761C"/>
    <w:rsid w:val="00C27756"/>
    <w:rsid w:val="00C3151E"/>
    <w:rsid w:val="00C330EB"/>
    <w:rsid w:val="00C45F1E"/>
    <w:rsid w:val="00C5422D"/>
    <w:rsid w:val="00C54E1F"/>
    <w:rsid w:val="00C62090"/>
    <w:rsid w:val="00C63DB8"/>
    <w:rsid w:val="00C64B09"/>
    <w:rsid w:val="00C72096"/>
    <w:rsid w:val="00C81A8E"/>
    <w:rsid w:val="00C82BD4"/>
    <w:rsid w:val="00C84908"/>
    <w:rsid w:val="00C937D4"/>
    <w:rsid w:val="00C95639"/>
    <w:rsid w:val="00C96CB2"/>
    <w:rsid w:val="00CA161C"/>
    <w:rsid w:val="00CA36D2"/>
    <w:rsid w:val="00CA5DE2"/>
    <w:rsid w:val="00CA628E"/>
    <w:rsid w:val="00CA79D2"/>
    <w:rsid w:val="00CB648F"/>
    <w:rsid w:val="00CC20AD"/>
    <w:rsid w:val="00CC2D37"/>
    <w:rsid w:val="00CC5023"/>
    <w:rsid w:val="00CC523C"/>
    <w:rsid w:val="00CC568B"/>
    <w:rsid w:val="00CC6DAF"/>
    <w:rsid w:val="00CC75F1"/>
    <w:rsid w:val="00CD2B68"/>
    <w:rsid w:val="00CD71AF"/>
    <w:rsid w:val="00CE0375"/>
    <w:rsid w:val="00CE05E2"/>
    <w:rsid w:val="00CE21A5"/>
    <w:rsid w:val="00CE27A3"/>
    <w:rsid w:val="00CE343B"/>
    <w:rsid w:val="00CE3510"/>
    <w:rsid w:val="00CE606D"/>
    <w:rsid w:val="00D10EB2"/>
    <w:rsid w:val="00D13405"/>
    <w:rsid w:val="00D2039C"/>
    <w:rsid w:val="00D20900"/>
    <w:rsid w:val="00D22266"/>
    <w:rsid w:val="00D30812"/>
    <w:rsid w:val="00D3564B"/>
    <w:rsid w:val="00D379C4"/>
    <w:rsid w:val="00D417FE"/>
    <w:rsid w:val="00D519EE"/>
    <w:rsid w:val="00D51C6A"/>
    <w:rsid w:val="00D52640"/>
    <w:rsid w:val="00D54638"/>
    <w:rsid w:val="00D567B1"/>
    <w:rsid w:val="00D63364"/>
    <w:rsid w:val="00D6677F"/>
    <w:rsid w:val="00D71E37"/>
    <w:rsid w:val="00D75F17"/>
    <w:rsid w:val="00D8081E"/>
    <w:rsid w:val="00D93F8B"/>
    <w:rsid w:val="00DA0104"/>
    <w:rsid w:val="00DA2CDD"/>
    <w:rsid w:val="00DA5591"/>
    <w:rsid w:val="00DA61F7"/>
    <w:rsid w:val="00DC48E0"/>
    <w:rsid w:val="00DC54AE"/>
    <w:rsid w:val="00DD32F2"/>
    <w:rsid w:val="00DD3A5A"/>
    <w:rsid w:val="00DD73A8"/>
    <w:rsid w:val="00DE00F0"/>
    <w:rsid w:val="00DE5B98"/>
    <w:rsid w:val="00DE6611"/>
    <w:rsid w:val="00DE66D9"/>
    <w:rsid w:val="00DE6A22"/>
    <w:rsid w:val="00DF1201"/>
    <w:rsid w:val="00DF5CFD"/>
    <w:rsid w:val="00E00B85"/>
    <w:rsid w:val="00E02D12"/>
    <w:rsid w:val="00E10335"/>
    <w:rsid w:val="00E14D55"/>
    <w:rsid w:val="00E1672E"/>
    <w:rsid w:val="00E16BB8"/>
    <w:rsid w:val="00E17298"/>
    <w:rsid w:val="00E20C01"/>
    <w:rsid w:val="00E3130A"/>
    <w:rsid w:val="00E3220A"/>
    <w:rsid w:val="00E41BD5"/>
    <w:rsid w:val="00E41C4B"/>
    <w:rsid w:val="00E43164"/>
    <w:rsid w:val="00E43512"/>
    <w:rsid w:val="00E47043"/>
    <w:rsid w:val="00E4787C"/>
    <w:rsid w:val="00E533A1"/>
    <w:rsid w:val="00E53754"/>
    <w:rsid w:val="00E57F81"/>
    <w:rsid w:val="00E644AB"/>
    <w:rsid w:val="00E67FD9"/>
    <w:rsid w:val="00E71C13"/>
    <w:rsid w:val="00E71FF5"/>
    <w:rsid w:val="00E773BE"/>
    <w:rsid w:val="00E813F1"/>
    <w:rsid w:val="00E90BA0"/>
    <w:rsid w:val="00E92911"/>
    <w:rsid w:val="00E96CC5"/>
    <w:rsid w:val="00E97263"/>
    <w:rsid w:val="00EA0AED"/>
    <w:rsid w:val="00EA5D96"/>
    <w:rsid w:val="00EA70C4"/>
    <w:rsid w:val="00EA74CA"/>
    <w:rsid w:val="00EA7BB4"/>
    <w:rsid w:val="00EB046F"/>
    <w:rsid w:val="00EB4B33"/>
    <w:rsid w:val="00EB62C0"/>
    <w:rsid w:val="00EB6903"/>
    <w:rsid w:val="00EC50D0"/>
    <w:rsid w:val="00ED032A"/>
    <w:rsid w:val="00ED0CC4"/>
    <w:rsid w:val="00ED40C0"/>
    <w:rsid w:val="00EE6DA3"/>
    <w:rsid w:val="00EF24D8"/>
    <w:rsid w:val="00EF2897"/>
    <w:rsid w:val="00EF5563"/>
    <w:rsid w:val="00F002B0"/>
    <w:rsid w:val="00F04ABF"/>
    <w:rsid w:val="00F05625"/>
    <w:rsid w:val="00F11533"/>
    <w:rsid w:val="00F1692B"/>
    <w:rsid w:val="00F24B29"/>
    <w:rsid w:val="00F2536F"/>
    <w:rsid w:val="00F3041B"/>
    <w:rsid w:val="00F3060E"/>
    <w:rsid w:val="00F30ECB"/>
    <w:rsid w:val="00F31278"/>
    <w:rsid w:val="00F52F1E"/>
    <w:rsid w:val="00F543BA"/>
    <w:rsid w:val="00F5543C"/>
    <w:rsid w:val="00F56B85"/>
    <w:rsid w:val="00F67A66"/>
    <w:rsid w:val="00F701CC"/>
    <w:rsid w:val="00F70825"/>
    <w:rsid w:val="00F838E3"/>
    <w:rsid w:val="00F84F24"/>
    <w:rsid w:val="00F924A8"/>
    <w:rsid w:val="00F97D1B"/>
    <w:rsid w:val="00FA4A32"/>
    <w:rsid w:val="00FB11B5"/>
    <w:rsid w:val="00FB12F2"/>
    <w:rsid w:val="00FB7A4C"/>
    <w:rsid w:val="00FB7DBF"/>
    <w:rsid w:val="00FC1A87"/>
    <w:rsid w:val="00FC25F3"/>
    <w:rsid w:val="00FC3392"/>
    <w:rsid w:val="00FC580A"/>
    <w:rsid w:val="00FC6A1C"/>
    <w:rsid w:val="00FC7498"/>
    <w:rsid w:val="00FD0965"/>
    <w:rsid w:val="00FD1B2E"/>
    <w:rsid w:val="00FD1C2F"/>
    <w:rsid w:val="00FE2D87"/>
    <w:rsid w:val="00FE64BE"/>
    <w:rsid w:val="00FE6C5D"/>
    <w:rsid w:val="00FE7D71"/>
    <w:rsid w:val="00FF5767"/>
    <w:rsid w:val="4EEFA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514</Words>
  <Characters>2933</Characters>
  <Lines>24</Lines>
  <Paragraphs>6</Paragraphs>
  <TotalTime>8</TotalTime>
  <ScaleCrop>false</ScaleCrop>
  <LinksUpToDate>false</LinksUpToDate>
  <CharactersWithSpaces>3441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2021-11-25T17:05:00Z</dcterms:created>
  <dc:creator>张梅</dc:creator>
  <cp:lastModifiedBy>linmengnan</cp:lastModifiedBy>
  <cp:lastPrinted>2021-11-25T16:45:00Z</cp:lastPrinted>
  <dcterms:modified xsi:type="dcterms:W3CDTF">2024-06-13T19:40:59Z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