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民事起诉状</w:t>
      </w:r>
    </w:p>
    <w:p>
      <w:pPr>
        <w:spacing w:line="560" w:lineRule="exact"/>
        <w:jc w:val="center"/>
        <w:rPr>
          <w:rFonts w:hint="eastAsia"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（</w:t>
      </w:r>
      <w:bookmarkStart w:id="0" w:name="_GoBack"/>
      <w:r>
        <w:rPr>
          <w:rFonts w:hint="eastAsia" w:ascii="方正小标宋简体" w:hAnsi="宋体" w:eastAsia="方正小标宋简体"/>
          <w:sz w:val="36"/>
          <w:szCs w:val="36"/>
        </w:rPr>
        <w:t>证券虚假陈述责任纠纷</w:t>
      </w:r>
      <w:bookmarkEnd w:id="0"/>
      <w:r>
        <w:rPr>
          <w:rFonts w:hint="eastAsia" w:ascii="方正小标宋简体" w:hAnsi="宋体" w:eastAsia="方正小标宋简体"/>
          <w:sz w:val="36"/>
          <w:szCs w:val="36"/>
        </w:rPr>
        <w:t>）</w:t>
      </w:r>
    </w:p>
    <w:p>
      <w:pPr>
        <w:spacing w:line="440" w:lineRule="exact"/>
        <w:jc w:val="center"/>
        <w:rPr>
          <w:rFonts w:hint="eastAsia" w:ascii="方正小标宋简体" w:hAnsi="宋体" w:eastAsia="方正小标宋简体"/>
          <w:sz w:val="36"/>
          <w:szCs w:val="36"/>
        </w:rPr>
      </w:pPr>
    </w:p>
    <w:tbl>
      <w:tblPr>
        <w:tblStyle w:val="2"/>
        <w:tblW w:w="8937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4"/>
        <w:gridCol w:w="11"/>
        <w:gridCol w:w="6192"/>
      </w:tblGrid>
      <w:tr>
        <w:tc>
          <w:tcPr>
            <w:tcW w:w="8937" w:type="dxa"/>
            <w:gridSpan w:val="3"/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为了方便您更好地参加诉讼，保护您的合法权利，请填写本表。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</w:rPr>
              <w:t>1.起诉时需向人民法院提交证明您身份的材料，如身份证复印件、营业执照复印件等。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2.本表所列内容是您提起诉讼以及人民法院查明案件事实所需，请务必如实填写。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本表所涉内容系针对一般证券虚假陈述责任纠纷案件，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《中华人民共和国民事诉讼法》第十三条第一款规定：“民事诉讼应当遵循诚信原则。”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如果诉讼参加人违反上述规定，进行虚假诉讼、恶意诉讼，人民法院将视违法情形依法追究责任。</w:t>
            </w:r>
          </w:p>
        </w:tc>
      </w:tr>
      <w:tr>
        <w:trPr>
          <w:trHeight w:val="738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当事人信息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552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原告（自然人）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出生日期：     年     月    日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民族：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工作单位：            职务： 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经常居住地：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原告（法人、非法人组织）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法定代表人/主要负责人：        职务：      联系电话：    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上市公司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528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528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委托诉讼代理人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有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360" w:firstLineChars="2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</w:t>
            </w:r>
          </w:p>
          <w:p>
            <w:pPr>
              <w:widowControl/>
              <w:ind w:firstLine="360" w:firstLineChars="2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单位：              职务：              联系电话：</w:t>
            </w:r>
          </w:p>
          <w:p>
            <w:pPr>
              <w:widowControl/>
              <w:ind w:firstLine="360" w:firstLineChars="2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特别授权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无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90" w:hRule="atLeast"/>
        </w:trP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送达地址（所填信息除书面特别声明更改外，适用于案件一审、二审、再审所有后续程序）及收件人、联系电话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地址：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收件人：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电话：</w:t>
            </w:r>
          </w:p>
        </w:tc>
      </w:tr>
      <w:tr>
        <w:trPr>
          <w:trHeight w:val="1064" w:hRule="atLeast"/>
        </w:trP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是否接受电子送达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ind w:left="1080" w:hanging="1080" w:hangingChars="6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是□  方式：短信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微信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传真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邮箱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    其他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  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被告（法人、非法人组织）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r>
              <w:rPr>
                <w:rFonts w:hint="eastAsia" w:ascii="宋体" w:hAnsi="宋体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法定代表人/主要负责人：         职务：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上市公司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firstLine="540" w:firstLineChars="3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552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被告（自然人）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出生日期：     年     月    日          民族：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工作单位：            职务： 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经常居住地：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第三人（法人、非法人组织）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r>
              <w:rPr>
                <w:rFonts w:hint="eastAsia" w:ascii="宋体" w:hAnsi="宋体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法定代表人/主要负责人：         职务：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上市公司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城镇农村的合作经济组织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firstLine="540" w:firstLineChars="3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第三人（自然人）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出生日期：     年     月    日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民族：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工作单位：            职务： 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经常居住地：</w:t>
            </w:r>
          </w:p>
        </w:tc>
      </w:tr>
      <w:tr>
        <w:trPr>
          <w:trHeight w:val="1129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108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诉讼请求和依据</w:t>
            </w:r>
          </w:p>
        </w:tc>
      </w:tr>
      <w:tr>
        <w:trPr>
          <w:trHeight w:val="693" w:hRule="atLeast"/>
        </w:trP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1.赔偿因虚假陈述导致的损失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投资差额损失     元、佣金损失     元、印花税损失     元（人民币，下同；如外币需特别注明）</w:t>
            </w:r>
          </w:p>
        </w:tc>
      </w:tr>
      <w:tr>
        <w:trPr>
          <w:trHeight w:val="726" w:hRule="atLeast"/>
        </w:trPr>
        <w:tc>
          <w:tcPr>
            <w:tcW w:w="2736" w:type="dxa"/>
            <w:noWrap w:val="0"/>
            <w:vAlign w:val="top"/>
          </w:tcPr>
          <w:p>
            <w:pPr>
              <w:spacing w:line="72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2.是否主张连带责任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责任主体及责任范围：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48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3.是否主张实现债权的费用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费用明细：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rPr>
          <w:trHeight w:val="625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4.其他请求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rPr>
          <w:trHeight w:val="635" w:hRule="atLeast"/>
        </w:trPr>
        <w:tc>
          <w:tcPr>
            <w:tcW w:w="2747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5.标的总额</w:t>
            </w:r>
          </w:p>
        </w:tc>
        <w:tc>
          <w:tcPr>
            <w:tcW w:w="6190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rPr>
          <w:trHeight w:val="969" w:hRule="atLeast"/>
        </w:trPr>
        <w:tc>
          <w:tcPr>
            <w:tcW w:w="2747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6.请求依据</w:t>
            </w:r>
          </w:p>
        </w:tc>
        <w:tc>
          <w:tcPr>
            <w:tcW w:w="6190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合同约定：</w:t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法律规定：</w:t>
            </w:r>
          </w:p>
        </w:tc>
      </w:tr>
      <w:tr>
        <w:trPr>
          <w:trHeight w:val="871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约定管辖和诉讼保全</w:t>
            </w:r>
          </w:p>
        </w:tc>
      </w:tr>
      <w:tr>
        <w:trPr>
          <w:trHeight w:val="795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1.有无仲裁、法院管辖约定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合同条款及内容：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</w:tc>
      </w:tr>
      <w:tr>
        <w:trPr>
          <w:trHeight w:val="1307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32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2.是否申请财产保全措施</w:t>
            </w:r>
          </w:p>
          <w:p>
            <w:pPr>
              <w:spacing w:line="432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已经诉前保全：是□     保全法院：    保全时间：    </w:t>
            </w:r>
          </w:p>
          <w:p>
            <w:pPr>
              <w:ind w:firstLine="1260" w:firstLineChars="7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申请诉讼保全：是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ind w:firstLine="900" w:firstLineChars="500"/>
              <w:jc w:val="left"/>
              <w:rPr>
                <w:rFonts w:hint="eastAsia"/>
                <w:szCs w:val="22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否□</w:t>
            </w:r>
          </w:p>
        </w:tc>
      </w:tr>
      <w:tr>
        <w:trPr>
          <w:trHeight w:val="867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48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事实和理由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1.被告存在虚假陈述行为的情况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具体虚假陈述行为：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虚假陈述行为实施日：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虚假陈述行为揭露日：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虚假陈述行为更正日：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虚假陈述基准日：</w:t>
            </w:r>
          </w:p>
        </w:tc>
      </w:tr>
      <w:tr>
        <w:trPr>
          <w:trHeight w:val="726" w:hRule="atLeast"/>
        </w:trPr>
        <w:tc>
          <w:tcPr>
            <w:tcW w:w="2736" w:type="dxa"/>
            <w:noWrap w:val="0"/>
            <w:vAlign w:val="top"/>
          </w:tcPr>
          <w:p>
            <w:pPr>
              <w:spacing w:line="72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2.有无监管部门的认定、处罚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   具体情况：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</w:tc>
      </w:tr>
      <w:tr>
        <w:trPr>
          <w:trHeight w:val="485" w:hRule="atLeast"/>
        </w:trP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3.原告交易情况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买入情况（日期、数量、单价）：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卖出情况（日期、数量、单价）：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528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4.虚假陈述的重大性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5.虚假陈述与原告交易行为之间的因果关系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6.虚假陈述与原告损失之间的因果关系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rPr>
          <w:trHeight w:val="90" w:hRule="atLeast"/>
        </w:trPr>
        <w:tc>
          <w:tcPr>
            <w:tcW w:w="273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7.原告损失情况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因虚假陈述所造成的投资差额损失：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佣金和印花税损失：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其他：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明细：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8.请求发行人的控股股东、实际控制人、董监高、相关责任人员承担连带责任的情况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9.请求保荐机构、承销机构、律师事务所、会计师事务所等其他机构及其相关责任人员承担连带责任的情况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rPr>
          <w:trHeight w:val="848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10.其他需要说明的内容（可另附页）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rPr>
          <w:trHeight w:val="893" w:hRule="atLeast"/>
        </w:trPr>
        <w:tc>
          <w:tcPr>
            <w:tcW w:w="2736" w:type="dxa"/>
            <w:noWrap w:val="0"/>
            <w:vAlign w:val="top"/>
          </w:tcPr>
          <w:p>
            <w:pPr>
              <w:spacing w:line="120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11.证据清单（可另附页）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/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spacing w:line="44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</w:p>
    <w:p>
      <w:pPr>
        <w:spacing w:line="44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 xml:space="preserve">                          具状人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（签字、盖章）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：</w:t>
      </w:r>
    </w:p>
    <w:p>
      <w:pPr>
        <w:spacing w:line="44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 xml:space="preserve">             日期：  </w:t>
      </w:r>
    </w:p>
    <w:p>
      <w:pPr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DFF46A7"/>
    <w:rsid w:val="BDFF4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2024-06-26T11:20:00Z</dcterms:created>
  <dc:creator>tongyingchao</dc:creator>
  <cp:lastModifiedBy>tongyingchao</cp:lastModifiedBy>
  <dcterms:modified xsi:type="dcterms:W3CDTF">2024-06-26T11:21:25Z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ACC1E2514233C2AF1A897B664A124AC2_41</vt:lpwstr>
  </property>
</Properties>
</file>