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snapToGrid/>
        <w:spacing w:line="560" w:lineRule="exact"/>
        <w:jc w:val="left"/>
        <w:textAlignment w:val="auto"/>
        <w:rPr>
          <w:rFonts w:hint="eastAsia" w:ascii="黑体" w:hAnsi="黑体" w:eastAsia="黑体"/>
          <w:sz w:val="32"/>
          <w:szCs w:val="32"/>
          <w:lang w:eastAsia="zh-CN"/>
        </w:rPr>
      </w:pPr>
      <w:r>
        <w:rPr>
          <w:rFonts w:hint="eastAsia" w:ascii="黑体" w:hAnsi="黑体" w:eastAsia="黑体"/>
          <w:sz w:val="32"/>
          <w:szCs w:val="32"/>
        </w:rPr>
        <w:t>附件</w:t>
      </w:r>
      <w:r>
        <w:rPr>
          <w:rFonts w:hint="eastAsia" w:ascii="黑体" w:hAnsi="黑体" w:eastAsia="黑体"/>
          <w:sz w:val="32"/>
          <w:szCs w:val="32"/>
          <w:lang w:eastAsia="zh-CN"/>
        </w:rPr>
        <w:t>：</w:t>
      </w:r>
    </w:p>
    <w:p>
      <w:pPr>
        <w:pStyle w:val="2"/>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深圳市龙岗区人民法院</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司法警察全警轮训项目采购需求及评分表</w:t>
      </w:r>
    </w:p>
    <w:p>
      <w:pPr>
        <w:pStyle w:val="2"/>
        <w:rPr>
          <w:rFonts w:hint="eastAsia"/>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CESI仿宋-GB2312" w:hAnsi="CESI仿宋-GB2312" w:eastAsia="楷体_GB2312" w:cs="楷体_GB2312"/>
          <w:b/>
          <w:bCs/>
          <w:color w:val="auto"/>
          <w:sz w:val="32"/>
          <w:szCs w:val="32"/>
          <w:highlight w:val="none"/>
          <w:lang w:val="en-US" w:eastAsia="zh-CN"/>
        </w:rPr>
      </w:pPr>
      <w:r>
        <w:rPr>
          <w:rFonts w:hint="eastAsia" w:ascii="CESI仿宋-GB2312" w:hAnsi="CESI仿宋-GB2312" w:eastAsia="楷体_GB2312" w:cs="楷体_GB2312"/>
          <w:b/>
          <w:bCs/>
          <w:color w:val="auto"/>
          <w:sz w:val="32"/>
          <w:szCs w:val="32"/>
          <w:highlight w:val="none"/>
          <w:lang w:val="en-US" w:eastAsia="zh-CN"/>
        </w:rPr>
        <w:t xml:space="preserve">    （一）项目基本情况</w:t>
      </w:r>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ascii="仿宋_GB2312" w:hAnsi="仿宋_GB2312" w:eastAsia="仿宋_GB2312" w:cs="仿宋_GB2312"/>
          <w:kern w:val="0"/>
          <w:sz w:val="32"/>
          <w:szCs w:val="22"/>
          <w:lang w:val="en-US" w:eastAsia="zh-CN"/>
        </w:rPr>
      </w:pPr>
      <w:r>
        <w:rPr>
          <w:rFonts w:hint="eastAsia" w:ascii="仿宋_GB2312" w:hAnsi="仿宋_GB2312" w:eastAsia="仿宋_GB2312" w:cs="仿宋_GB2312"/>
          <w:kern w:val="0"/>
          <w:sz w:val="32"/>
          <w:szCs w:val="22"/>
          <w:lang w:val="en-US" w:eastAsia="zh-CN"/>
        </w:rPr>
        <w:t>1.项目名称：深圳市龙岗区人民法院司法警察全警轮训项目。</w:t>
      </w:r>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ascii="仿宋_GB2312" w:hAnsi="仿宋_GB2312" w:eastAsia="仿宋_GB2312" w:cs="仿宋_GB2312"/>
          <w:kern w:val="0"/>
          <w:sz w:val="32"/>
          <w:szCs w:val="22"/>
          <w:lang w:val="en-US" w:eastAsia="zh-CN"/>
        </w:rPr>
      </w:pPr>
      <w:r>
        <w:rPr>
          <w:rFonts w:hint="eastAsia" w:ascii="仿宋_GB2312" w:hAnsi="仿宋_GB2312" w:eastAsia="仿宋_GB2312" w:cs="仿宋_GB2312"/>
          <w:kern w:val="0"/>
          <w:sz w:val="32"/>
          <w:szCs w:val="22"/>
          <w:lang w:val="en-US" w:eastAsia="zh-CN"/>
        </w:rPr>
        <w:t>2.实施时间：2026年11月底—12月初，分两批次开展，每批次约40人，每批次集训5天，具体开班日期由采购人提前通知成交供应商。</w:t>
      </w:r>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default" w:ascii="仿宋_GB2312" w:hAnsi="仿宋_GB2312" w:eastAsia="仿宋_GB2312" w:cs="仿宋_GB2312"/>
          <w:kern w:val="0"/>
          <w:sz w:val="32"/>
          <w:szCs w:val="22"/>
          <w:lang w:val="en-US" w:eastAsia="zh-CN"/>
        </w:rPr>
      </w:pPr>
      <w:r>
        <w:rPr>
          <w:rFonts w:hint="eastAsia" w:ascii="仿宋_GB2312" w:hAnsi="仿宋_GB2312" w:eastAsia="仿宋_GB2312" w:cs="仿宋_GB2312"/>
          <w:kern w:val="0"/>
          <w:sz w:val="32"/>
          <w:szCs w:val="22"/>
          <w:lang w:val="en-US" w:eastAsia="zh-CN"/>
        </w:rPr>
        <w:t>3.实施地点：深圳市大鹏新区（暂定）。</w:t>
      </w:r>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ascii="仿宋_GB2312" w:hAnsi="仿宋_GB2312" w:eastAsia="仿宋_GB2312" w:cs="仿宋_GB2312"/>
          <w:kern w:val="0"/>
          <w:sz w:val="32"/>
          <w:szCs w:val="22"/>
          <w:lang w:val="en-US" w:eastAsia="zh-CN"/>
        </w:rPr>
      </w:pPr>
      <w:r>
        <w:rPr>
          <w:rFonts w:hint="eastAsia" w:ascii="仿宋_GB2312" w:hAnsi="仿宋_GB2312" w:eastAsia="仿宋_GB2312" w:cs="仿宋_GB2312"/>
          <w:kern w:val="0"/>
          <w:sz w:val="32"/>
          <w:szCs w:val="22"/>
          <w:lang w:val="en-US" w:eastAsia="zh-CN"/>
        </w:rPr>
        <w:t>4.项目预算金额：155540元，参训人员每人每天综合包干价450元；第5日下午结训，当日无需提供住宿，按每人每天220元结算，据实结算。以上报价为全包价，包含场地使用费、住宿费、餐费、参训人员意外险、后勤人员服务费、影像素材整理费、全部税费等。</w:t>
      </w:r>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lang w:val="en-US" w:eastAsia="zh-CN"/>
        </w:rPr>
      </w:pPr>
      <w:r>
        <w:rPr>
          <w:rFonts w:hint="eastAsia" w:ascii="仿宋_GB2312" w:hAnsi="仿宋_GB2312" w:eastAsia="仿宋_GB2312" w:cs="仿宋_GB2312"/>
          <w:kern w:val="0"/>
          <w:sz w:val="32"/>
          <w:szCs w:val="22"/>
          <w:lang w:val="en-US" w:eastAsia="zh-CN"/>
        </w:rPr>
        <w:t>5.服务内容：提供集训场地、食宿后勤保障、安全保险、集训配套服务，配合完成司法警察封闭轮训工作。</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CESI仿宋-GB2312" w:hAnsi="CESI仿宋-GB2312" w:eastAsia="楷体_GB2312" w:cs="楷体_GB2312"/>
          <w:b/>
          <w:bCs/>
          <w:color w:val="auto"/>
          <w:sz w:val="32"/>
          <w:szCs w:val="32"/>
          <w:highlight w:val="none"/>
          <w:lang w:val="en-US" w:eastAsia="zh-CN"/>
        </w:rPr>
      </w:pPr>
      <w:r>
        <w:rPr>
          <w:rFonts w:hint="eastAsia" w:ascii="CESI仿宋-GB2312" w:hAnsi="CESI仿宋-GB2312" w:eastAsia="楷体_GB2312" w:cs="楷体_GB2312"/>
          <w:b/>
          <w:bCs/>
          <w:color w:val="auto"/>
          <w:sz w:val="32"/>
          <w:szCs w:val="32"/>
          <w:highlight w:val="none"/>
          <w:lang w:val="en-US" w:eastAsia="zh-CN"/>
        </w:rPr>
        <w:t xml:space="preserve">    （二）技术要求</w:t>
      </w:r>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ascii="仿宋_GB2312" w:hAnsi="仿宋_GB2312" w:eastAsia="仿宋_GB2312" w:cs="仿宋_GB2312"/>
          <w:kern w:val="0"/>
          <w:sz w:val="32"/>
          <w:szCs w:val="22"/>
          <w:lang w:val="en-US" w:eastAsia="zh-CN"/>
        </w:rPr>
      </w:pPr>
      <w:r>
        <w:rPr>
          <w:rFonts w:hint="eastAsia" w:ascii="仿宋_GB2312" w:hAnsi="仿宋_GB2312" w:eastAsia="仿宋_GB2312" w:cs="仿宋_GB2312"/>
          <w:kern w:val="0"/>
          <w:sz w:val="32"/>
          <w:szCs w:val="22"/>
          <w:lang w:val="en-US" w:eastAsia="zh-CN"/>
        </w:rPr>
        <w:t>1.场地硬件设施要求：（1）具有面积不小于150㎡室内训练场地或带雨棚遮蔽的室外训练场地，可同时容纳不少于40名参训干警开展警务技能、队列训练；（2）具备可开展1000米体能测试的田径跑道或合规封闭通行道路；（3）配备单双杠等基础健身器材，沙坑、高墙、低桩网、战绳、敏捷梯等警务体能训练器械；（4）配置独立多媒体授课教室，满足业务理论教学，环境安静，具备投影、音响等基础电教设备； （5）配套篮球场、简易健身房等健身设施；（6）具备独立、合规的住宿区、就餐区；（7）训练场地、住宿楼宇、餐厅之间步行时长不超过5分钟，满足封闭式集训管理。</w:t>
      </w:r>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ascii="仿宋_GB2312" w:hAnsi="仿宋_GB2312" w:eastAsia="仿宋_GB2312" w:cs="仿宋_GB2312"/>
          <w:kern w:val="0"/>
          <w:sz w:val="32"/>
          <w:szCs w:val="22"/>
          <w:lang w:val="en-US" w:eastAsia="zh-CN"/>
        </w:rPr>
      </w:pPr>
      <w:r>
        <w:rPr>
          <w:rFonts w:hint="eastAsia" w:ascii="仿宋_GB2312" w:hAnsi="仿宋_GB2312" w:eastAsia="仿宋_GB2312" w:cs="仿宋_GB2312"/>
          <w:kern w:val="0"/>
          <w:sz w:val="32"/>
          <w:szCs w:val="22"/>
          <w:lang w:val="en-US" w:eastAsia="zh-CN"/>
        </w:rPr>
        <w:t>2.食宿后勤保障要求：（1）住宿：参训人员安排双人标间，房间通风采光良好，配备空调、洗漱用品，床品一客一换，环境安静，可提供叫醒、客房保洁服务；（2）用餐：含早餐，早餐品类包含蛋类、奶类、主食；中餐、晚餐采用10人围餐，每桌7荤3素1汤，米饭足量供应；连续三日内正餐菜谱不得重复；（3）服从采购人封闭式集训管理要求，落实出入管控。</w:t>
      </w:r>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ascii="仿宋_GB2312" w:hAnsi="仿宋_GB2312" w:eastAsia="仿宋_GB2312" w:cs="仿宋_GB2312"/>
          <w:kern w:val="0"/>
          <w:sz w:val="32"/>
          <w:szCs w:val="22"/>
          <w:lang w:val="en-US" w:eastAsia="zh-CN"/>
        </w:rPr>
      </w:pPr>
      <w:r>
        <w:rPr>
          <w:rFonts w:hint="eastAsia" w:ascii="仿宋_GB2312" w:hAnsi="仿宋_GB2312" w:eastAsia="仿宋_GB2312" w:cs="仿宋_GB2312"/>
          <w:kern w:val="0"/>
          <w:sz w:val="32"/>
          <w:szCs w:val="22"/>
          <w:lang w:val="en-US" w:eastAsia="zh-CN"/>
        </w:rPr>
        <w:t>3.集训配套服务内容：供应商负责提供集训场地、食宿、基础后勤保障，承担集训期间场地调度、参训人员考勤协助；可根据采购人安排组织警务拓展、短途户外拉练；集训全程提供拍照、录像素材留存，集训结束后整理影像资料，编制集训简要总结材料交付采购人。</w:t>
      </w:r>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ascii="仿宋_GB2312" w:hAnsi="仿宋_GB2312" w:eastAsia="仿宋_GB2312" w:cs="仿宋_GB2312"/>
          <w:kern w:val="0"/>
          <w:sz w:val="32"/>
          <w:szCs w:val="22"/>
          <w:lang w:val="en-US" w:eastAsia="zh-CN"/>
        </w:rPr>
      </w:pPr>
      <w:r>
        <w:rPr>
          <w:rFonts w:hint="eastAsia" w:ascii="仿宋_GB2312" w:hAnsi="仿宋_GB2312" w:eastAsia="仿宋_GB2312" w:cs="仿宋_GB2312"/>
          <w:kern w:val="0"/>
          <w:sz w:val="32"/>
          <w:szCs w:val="22"/>
          <w:lang w:val="en-US" w:eastAsia="zh-CN"/>
        </w:rPr>
        <w:t>4.安全保障及保险要求：供应商须为本项目全部参训人员购买集训周期内有效的人身意外伤害保险；落实消防、食品卫生、场地设施安全自查；训练期间安排现场安全提示，做好风险防控，配合采购人处置摔伤、突发疾病等各类突发事件。</w:t>
      </w:r>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ascii="仿宋_GB2312" w:hAnsi="仿宋_GB2312" w:eastAsia="仿宋_GB2312" w:cs="仿宋_GB2312"/>
          <w:kern w:val="0"/>
          <w:sz w:val="32"/>
          <w:szCs w:val="22"/>
          <w:lang w:val="en-US" w:eastAsia="zh-CN"/>
        </w:rPr>
      </w:pPr>
      <w:r>
        <w:rPr>
          <w:rFonts w:hint="eastAsia" w:ascii="仿宋_GB2312" w:hAnsi="仿宋_GB2312" w:eastAsia="仿宋_GB2312" w:cs="仿宋_GB2312"/>
          <w:kern w:val="0"/>
          <w:sz w:val="32"/>
          <w:szCs w:val="22"/>
          <w:lang w:val="en-US" w:eastAsia="zh-CN"/>
        </w:rPr>
        <w:t>5.课程配合要求 严格配合采购人按照《人民法院司法警察训练条令》组织开展队列、基础体能、警务技能、业务理论等训练科目；采购人负责训练科目设置、教官安排、现场教学指挥；供应商仅提供场地、后勤保障支撑。</w:t>
      </w:r>
      <w:bookmarkStart w:id="0" w:name="_Toc11974"/>
      <w:bookmarkStart w:id="1" w:name="_Toc31127"/>
      <w:bookmarkStart w:id="2" w:name="_Toc2579"/>
      <w:bookmarkStart w:id="3" w:name="_Toc19047"/>
      <w:bookmarkStart w:id="4" w:name="_Toc5292"/>
      <w:bookmarkStart w:id="5" w:name="_Toc23784"/>
      <w:bookmarkStart w:id="6" w:name="_Toc30578"/>
      <w:bookmarkStart w:id="7" w:name="_Toc87899007"/>
      <w:bookmarkStart w:id="8" w:name="_Toc80691240"/>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ascii="CESI仿宋-GB2312" w:hAnsi="CESI仿宋-GB2312" w:eastAsia="楷体_GB2312" w:cs="楷体_GB2312"/>
          <w:b/>
          <w:bCs/>
          <w:color w:val="auto"/>
          <w:sz w:val="32"/>
          <w:szCs w:val="32"/>
          <w:highlight w:val="none"/>
          <w:lang w:val="en-US" w:eastAsia="zh-CN"/>
        </w:rPr>
      </w:pPr>
      <w:r>
        <w:rPr>
          <w:rFonts w:hint="eastAsia" w:ascii="CESI仿宋-GB2312" w:hAnsi="CESI仿宋-GB2312" w:eastAsia="楷体_GB2312" w:cs="楷体_GB2312"/>
          <w:b/>
          <w:bCs/>
          <w:color w:val="auto"/>
          <w:sz w:val="32"/>
          <w:szCs w:val="32"/>
          <w:highlight w:val="none"/>
          <w:lang w:val="en-US" w:eastAsia="zh-CN"/>
        </w:rPr>
        <w:t>（三）实质性符合性审查条款</w:t>
      </w:r>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ascii="仿宋_GB2312" w:hAnsi="仿宋_GB2312" w:eastAsia="仿宋_GB2312" w:cs="仿宋_GB2312"/>
          <w:kern w:val="0"/>
          <w:sz w:val="32"/>
          <w:szCs w:val="22"/>
          <w:lang w:val="en-US" w:eastAsia="zh-CN" w:bidi="ar-SA"/>
        </w:rPr>
      </w:pPr>
      <w:r>
        <w:rPr>
          <w:rFonts w:hint="eastAsia" w:ascii="仿宋_GB2312" w:hAnsi="仿宋_GB2312" w:eastAsia="仿宋_GB2312" w:cs="仿宋_GB2312"/>
          <w:kern w:val="0"/>
          <w:sz w:val="32"/>
          <w:szCs w:val="22"/>
          <w:lang w:val="en-US" w:eastAsia="zh-CN" w:bidi="ar-SA"/>
        </w:rPr>
        <w:t>上述技术要求中，以下部分为项目实质性、不可偏离硬性要求，优先开展的符合性审查，任意一项不满足者，响应文件无效、不予进入评分环节，无评审资格：</w:t>
      </w:r>
    </w:p>
    <w:p>
      <w:pPr>
        <w:keepNext w:val="0"/>
        <w:keepLines w:val="0"/>
        <w:pageBreakBefore w:val="0"/>
        <w:widowControl/>
        <w:numPr>
          <w:ilvl w:val="0"/>
          <w:numId w:val="0"/>
        </w:numPr>
        <w:kinsoku/>
        <w:wordWrap/>
        <w:overflowPunct/>
        <w:topLinePunct w:val="0"/>
        <w:autoSpaceDE/>
        <w:autoSpaceDN/>
        <w:bidi w:val="0"/>
        <w:adjustRightInd/>
        <w:snapToGrid/>
        <w:spacing w:after="0" w:line="560" w:lineRule="exact"/>
        <w:jc w:val="left"/>
        <w:textAlignment w:val="auto"/>
        <w:rPr>
          <w:rFonts w:hint="eastAsia" w:ascii="仿宋_GB2312" w:hAnsi="仿宋_GB2312" w:eastAsia="仿宋_GB2312" w:cs="仿宋_GB2312"/>
          <w:kern w:val="0"/>
          <w:sz w:val="32"/>
          <w:szCs w:val="22"/>
          <w:lang w:val="en-US" w:eastAsia="zh-CN" w:bidi="ar-SA"/>
        </w:rPr>
      </w:pPr>
      <w:r>
        <w:rPr>
          <w:rFonts w:hint="eastAsia" w:ascii="仿宋_GB2312" w:hAnsi="仿宋_GB2312" w:eastAsia="仿宋_GB2312" w:cs="仿宋_GB2312"/>
          <w:kern w:val="0"/>
          <w:sz w:val="32"/>
          <w:szCs w:val="22"/>
          <w:lang w:val="en-US" w:eastAsia="zh-CN" w:bidi="ar-SA"/>
        </w:rPr>
        <w:t xml:space="preserve">    1.必须提供双人标间住宿，房间配备空调、洗漱用品，床品严格执行一客一换标准；</w:t>
      </w:r>
    </w:p>
    <w:p>
      <w:pPr>
        <w:keepNext w:val="0"/>
        <w:keepLines w:val="0"/>
        <w:pageBreakBefore w:val="0"/>
        <w:widowControl/>
        <w:numPr>
          <w:ilvl w:val="0"/>
          <w:numId w:val="0"/>
        </w:numPr>
        <w:kinsoku/>
        <w:wordWrap/>
        <w:overflowPunct/>
        <w:topLinePunct w:val="0"/>
        <w:autoSpaceDE/>
        <w:autoSpaceDN/>
        <w:bidi w:val="0"/>
        <w:adjustRightInd/>
        <w:snapToGrid/>
        <w:spacing w:after="0" w:line="560" w:lineRule="exact"/>
        <w:jc w:val="left"/>
        <w:textAlignment w:val="auto"/>
        <w:rPr>
          <w:rFonts w:hint="eastAsia" w:ascii="仿宋_GB2312" w:hAnsi="仿宋_GB2312" w:eastAsia="仿宋_GB2312" w:cs="仿宋_GB2312"/>
          <w:kern w:val="0"/>
          <w:sz w:val="32"/>
          <w:szCs w:val="22"/>
          <w:lang w:val="en-US" w:eastAsia="zh-CN" w:bidi="ar-SA"/>
        </w:rPr>
      </w:pPr>
      <w:r>
        <w:rPr>
          <w:rFonts w:hint="eastAsia" w:ascii="仿宋_GB2312" w:hAnsi="仿宋_GB2312" w:eastAsia="仿宋_GB2312" w:cs="仿宋_GB2312"/>
          <w:kern w:val="0"/>
          <w:sz w:val="32"/>
          <w:szCs w:val="22"/>
          <w:lang w:val="en-US" w:eastAsia="zh-CN" w:bidi="ar-SA"/>
        </w:rPr>
        <w:t xml:space="preserve">    2.必须统一提供一日三餐，早餐含蛋、奶、主食，中晚餐为10人围餐（7荤3素1汤）、米饭足量供应，承诺三日内正餐菜谱不重复；</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kern w:val="0"/>
          <w:sz w:val="32"/>
          <w:szCs w:val="22"/>
          <w:lang w:val="en-US" w:eastAsia="zh-CN" w:bidi="ar-SA"/>
        </w:rPr>
      </w:pPr>
      <w:r>
        <w:rPr>
          <w:rFonts w:hint="eastAsia" w:ascii="仿宋_GB2312" w:hAnsi="仿宋_GB2312" w:eastAsia="仿宋_GB2312" w:cs="仿宋_GB2312"/>
          <w:kern w:val="0"/>
          <w:sz w:val="32"/>
          <w:szCs w:val="22"/>
          <w:lang w:val="en-US" w:eastAsia="zh-CN" w:bidi="ar-SA"/>
        </w:rPr>
        <w:t>3.必须为本次集训所有参训人员购买集训期间有效人身意外伤害保险；</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kern w:val="0"/>
          <w:sz w:val="32"/>
          <w:szCs w:val="22"/>
          <w:lang w:val="en-US" w:eastAsia="zh-CN" w:bidi="ar-SA"/>
        </w:rPr>
      </w:pPr>
      <w:r>
        <w:rPr>
          <w:rFonts w:hint="eastAsia" w:ascii="仿宋_GB2312" w:hAnsi="仿宋_GB2312" w:eastAsia="仿宋_GB2312" w:cs="仿宋_GB2312"/>
          <w:kern w:val="0"/>
          <w:sz w:val="32"/>
          <w:szCs w:val="22"/>
          <w:lang w:val="en-US" w:eastAsia="zh-CN" w:bidi="ar-SA"/>
        </w:rPr>
        <w:t>4.集训基地必须具备≥150㎡训练场地、1000米体能测试通行道路/跑道、全套警务训练器械、独立多媒体教室；</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kern w:val="0"/>
          <w:sz w:val="32"/>
          <w:szCs w:val="22"/>
          <w:lang w:val="en-US" w:eastAsia="zh-CN" w:bidi="ar-SA"/>
        </w:rPr>
      </w:pPr>
      <w:r>
        <w:rPr>
          <w:rFonts w:hint="eastAsia" w:ascii="仿宋_GB2312" w:hAnsi="仿宋_GB2312" w:eastAsia="仿宋_GB2312" w:cs="仿宋_GB2312"/>
          <w:kern w:val="0"/>
          <w:sz w:val="32"/>
          <w:szCs w:val="22"/>
          <w:lang w:val="en-US" w:eastAsia="zh-CN" w:bidi="ar-SA"/>
        </w:rPr>
        <w:t>5.必须书面承诺完全服从采购人封闭式集训出入管控及封闭管理要求。</w:t>
      </w:r>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ascii="CESI仿宋-GB2312" w:hAnsi="CESI仿宋-GB2312" w:eastAsia="楷体_GB2312" w:cs="楷体_GB2312"/>
          <w:b/>
          <w:bCs/>
          <w:color w:val="auto"/>
          <w:sz w:val="32"/>
          <w:szCs w:val="32"/>
          <w:highlight w:val="none"/>
          <w:lang w:val="en-US" w:eastAsia="zh-CN"/>
        </w:rPr>
      </w:pPr>
      <w:r>
        <w:rPr>
          <w:rFonts w:hint="eastAsia" w:ascii="CESI仿宋-GB2312" w:hAnsi="CESI仿宋-GB2312" w:eastAsia="楷体_GB2312" w:cs="楷体_GB2312"/>
          <w:b/>
          <w:bCs/>
          <w:color w:val="auto"/>
          <w:sz w:val="32"/>
          <w:szCs w:val="32"/>
          <w:highlight w:val="none"/>
          <w:lang w:val="en-US" w:eastAsia="zh-CN"/>
        </w:rPr>
        <w:t>（四）商务要求</w:t>
      </w:r>
      <w:bookmarkEnd w:id="0"/>
      <w:bookmarkEnd w:id="1"/>
      <w:bookmarkEnd w:id="2"/>
      <w:bookmarkEnd w:id="3"/>
      <w:bookmarkEnd w:id="4"/>
      <w:bookmarkEnd w:id="5"/>
      <w:bookmarkEnd w:id="6"/>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ascii="仿宋_GB2312" w:hAnsi="仿宋_GB2312" w:eastAsia="仿宋_GB2312" w:cs="仿宋_GB2312"/>
          <w:kern w:val="0"/>
          <w:sz w:val="32"/>
          <w:szCs w:val="22"/>
          <w:lang w:val="en-US" w:eastAsia="zh-CN"/>
        </w:rPr>
      </w:pPr>
      <w:r>
        <w:rPr>
          <w:rFonts w:hint="eastAsia" w:ascii="仿宋_GB2312" w:hAnsi="仿宋_GB2312" w:eastAsia="仿宋_GB2312" w:cs="仿宋_GB2312"/>
          <w:kern w:val="0"/>
          <w:sz w:val="32"/>
          <w:szCs w:val="22"/>
          <w:lang w:val="en-US" w:eastAsia="zh-CN"/>
        </w:rPr>
        <w:t>1.实施时间、地点：（1）实施时间：2026年11月底—12月初，两批次组织集训，每批次约40人，集训5天，</w:t>
      </w:r>
      <w:bookmarkStart w:id="9" w:name="_GoBack"/>
      <w:bookmarkEnd w:id="9"/>
      <w:r>
        <w:rPr>
          <w:rFonts w:hint="eastAsia" w:ascii="仿宋_GB2312" w:hAnsi="仿宋_GB2312" w:eastAsia="仿宋_GB2312" w:cs="仿宋_GB2312"/>
          <w:kern w:val="0"/>
          <w:sz w:val="32"/>
          <w:szCs w:val="22"/>
          <w:lang w:val="en-US" w:eastAsia="zh-CN"/>
        </w:rPr>
        <w:t>具体开班日期由采购人提前通知成交供应商。（2）实施地点：深圳市大鹏新区（暂定）。</w:t>
      </w:r>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ascii="仿宋_GB2312" w:hAnsi="仿宋_GB2312" w:eastAsia="仿宋_GB2312" w:cs="仿宋_GB2312"/>
          <w:kern w:val="0"/>
          <w:sz w:val="32"/>
          <w:szCs w:val="22"/>
          <w:lang w:val="en-US" w:eastAsia="zh-CN"/>
        </w:rPr>
      </w:pPr>
      <w:r>
        <w:rPr>
          <w:rFonts w:hint="eastAsia" w:ascii="仿宋_GB2312" w:hAnsi="仿宋_GB2312" w:eastAsia="仿宋_GB2312" w:cs="仿宋_GB2312"/>
          <w:kern w:val="0"/>
          <w:sz w:val="32"/>
          <w:szCs w:val="22"/>
          <w:lang w:val="en-US" w:eastAsia="zh-CN"/>
        </w:rPr>
        <w:t>2.服务期限：自合同签订之日起1年内完成全部集训服务。因不可抗力、政策调整等原因无法按期开展集训的，双方可协商顺延；未实际开展集训的场次不予结算费用。</w:t>
      </w:r>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ascii="仿宋_GB2312" w:hAnsi="仿宋_GB2312" w:eastAsia="仿宋_GB2312" w:cs="仿宋_GB2312"/>
          <w:kern w:val="0"/>
          <w:sz w:val="32"/>
          <w:szCs w:val="22"/>
          <w:lang w:val="en-US" w:eastAsia="zh-CN"/>
        </w:rPr>
      </w:pPr>
      <w:r>
        <w:rPr>
          <w:rFonts w:hint="eastAsia" w:ascii="仿宋_GB2312" w:hAnsi="仿宋_GB2312" w:eastAsia="仿宋_GB2312" w:cs="仿宋_GB2312"/>
          <w:kern w:val="0"/>
          <w:sz w:val="32"/>
          <w:szCs w:val="22"/>
          <w:lang w:val="en-US" w:eastAsia="zh-CN"/>
        </w:rPr>
        <w:t>3.费用结算标准：参照《深圳市市级机关培训费管理办法》（深财行〔2017〕75号）执行，参训人员每人每天综合包干价450元；当晚不提供住宿的，按每人每天220元结算。最终费用按照实际参训人数、实际参训天数据实结算，项目预算上限：155540元。报价为全包价，包含场地使用费、住宿费、餐费、参训人员意外险、后勤人员服务费、影像素材整理费、全部税费等，采购人不再支付任何额外费用。</w:t>
      </w:r>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ascii="仿宋_GB2312" w:hAnsi="仿宋_GB2312" w:eastAsia="仿宋_GB2312" w:cs="仿宋_GB2312"/>
          <w:kern w:val="0"/>
          <w:sz w:val="32"/>
          <w:szCs w:val="22"/>
          <w:lang w:val="en-US" w:eastAsia="zh-CN"/>
        </w:rPr>
      </w:pPr>
      <w:r>
        <w:rPr>
          <w:rFonts w:hint="eastAsia" w:ascii="仿宋_GB2312" w:hAnsi="仿宋_GB2312" w:eastAsia="仿宋_GB2312" w:cs="仿宋_GB2312"/>
          <w:kern w:val="0"/>
          <w:sz w:val="32"/>
          <w:szCs w:val="22"/>
          <w:lang w:val="en-US" w:eastAsia="zh-CN"/>
        </w:rPr>
        <w:t>4.付款条件：全部批次集训服务完成，成交供应商提交足额合规发票、全套集训归档材料，采购人完成履约验收合格后，一次性支付据实核算的合同款项。</w:t>
      </w:r>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ascii="仿宋_GB2312" w:hAnsi="仿宋_GB2312" w:eastAsia="仿宋_GB2312" w:cs="仿宋_GB2312"/>
          <w:kern w:val="0"/>
          <w:sz w:val="32"/>
          <w:szCs w:val="22"/>
          <w:lang w:val="en-US" w:eastAsia="zh-CN"/>
        </w:rPr>
      </w:pPr>
      <w:r>
        <w:rPr>
          <w:rFonts w:hint="eastAsia" w:ascii="仿宋_GB2312" w:hAnsi="仿宋_GB2312" w:eastAsia="仿宋_GB2312" w:cs="仿宋_GB2312"/>
          <w:kern w:val="0"/>
          <w:sz w:val="32"/>
          <w:szCs w:val="22"/>
          <w:lang w:val="en-US" w:eastAsia="zh-CN"/>
        </w:rPr>
        <w:t>5.项目取消风险约定：自采购公告发布之日起至正式签订采购合同前，采购人因工作任务调整、财政经费政策变化等情形有权取消本采购项目，该前期投入风险由各潜在供应商自行承担。</w:t>
      </w:r>
    </w:p>
    <w:p>
      <w:pPr>
        <w:keepNext w:val="0"/>
        <w:keepLines w:val="0"/>
        <w:pageBreakBefore w:val="0"/>
        <w:widowControl/>
        <w:kinsoku/>
        <w:wordWrap/>
        <w:overflowPunct/>
        <w:topLinePunct w:val="0"/>
        <w:autoSpaceDE/>
        <w:autoSpaceDN/>
        <w:bidi w:val="0"/>
        <w:adjustRightInd/>
        <w:snapToGrid/>
        <w:spacing w:after="0" w:line="560" w:lineRule="exact"/>
        <w:ind w:firstLine="640"/>
        <w:jc w:val="left"/>
        <w:textAlignment w:val="auto"/>
        <w:rPr>
          <w:rFonts w:hint="eastAsia" w:ascii="方正小标宋简体" w:hAnsi="方正小标宋简体" w:eastAsia="方正小标宋简体" w:cs="方正小标宋简体"/>
          <w:kern w:val="2"/>
          <w:sz w:val="44"/>
          <w:szCs w:val="44"/>
          <w:lang w:eastAsia="zh-CN"/>
        </w:rPr>
      </w:pPr>
      <w:r>
        <w:rPr>
          <w:rFonts w:hint="eastAsia" w:ascii="仿宋_GB2312" w:hAnsi="仿宋_GB2312" w:eastAsia="仿宋_GB2312" w:cs="仿宋_GB2312"/>
          <w:kern w:val="0"/>
          <w:sz w:val="32"/>
          <w:szCs w:val="22"/>
          <w:lang w:val="en-US" w:eastAsia="zh-CN"/>
        </w:rPr>
        <w:t>6.履约验收：采购人对照采购文件、成交供应商响应文件、采购合同开展履约验收；验收核查资料包含参训签到表、保险投保凭证、食宿服务记录、集训影像素材、集训总结、正规发票。服务不达标，采购人有权按照合同追究违约责任。</w:t>
      </w:r>
      <w:bookmarkEnd w:id="7"/>
      <w:bookmarkEnd w:id="8"/>
    </w:p>
    <w:p>
      <w:pPr>
        <w:pStyle w:val="3"/>
        <w:keepNext w:val="0"/>
        <w:keepLines w:val="0"/>
        <w:pageBreakBefore w:val="0"/>
        <w:kinsoku/>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2"/>
          <w:sz w:val="44"/>
          <w:szCs w:val="44"/>
          <w:lang w:eastAsia="zh-CN"/>
        </w:rPr>
      </w:pPr>
    </w:p>
    <w:p>
      <w:pPr>
        <w:keepNext w:val="0"/>
        <w:keepLines w:val="0"/>
        <w:pageBreakBefore w:val="0"/>
        <w:kinsoku/>
        <w:overflowPunct/>
        <w:topLinePunct w:val="0"/>
        <w:autoSpaceDE/>
        <w:autoSpaceDN/>
        <w:bidi w:val="0"/>
        <w:adjustRightInd/>
        <w:snapToGrid/>
        <w:spacing w:line="560" w:lineRule="exact"/>
        <w:jc w:val="both"/>
        <w:textAlignment w:val="auto"/>
        <w:rPr>
          <w:rFonts w:hint="eastAsia" w:ascii="仿宋" w:hAnsi="仿宋" w:eastAsia="仿宋" w:cs="华文仿宋"/>
          <w:b/>
          <w:bCs/>
          <w:sz w:val="28"/>
          <w:szCs w:val="28"/>
          <w:lang w:eastAsia="zh-CN"/>
        </w:rPr>
      </w:pPr>
    </w:p>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黑体" w:hAnsi="黑体" w:eastAsia="黑体"/>
          <w:sz w:val="32"/>
          <w:szCs w:val="32"/>
          <w:lang w:eastAsia="zh-CN"/>
        </w:rPr>
      </w:pPr>
      <w:r>
        <w:rPr>
          <w:rFonts w:hint="eastAsia" w:ascii="黑体" w:hAnsi="黑体" w:eastAsia="黑体"/>
          <w:sz w:val="32"/>
          <w:szCs w:val="32"/>
          <w:lang w:eastAsia="zh-CN"/>
        </w:rPr>
        <w:t>评分表（</w:t>
      </w:r>
      <w:r>
        <w:rPr>
          <w:rFonts w:hint="eastAsia" w:ascii="黑体" w:hAnsi="黑体" w:eastAsia="黑体"/>
          <w:sz w:val="32"/>
          <w:szCs w:val="32"/>
        </w:rPr>
        <w:t>服务类评分项</w:t>
      </w:r>
      <w:r>
        <w:rPr>
          <w:rFonts w:hint="eastAsia" w:ascii="黑体" w:hAnsi="黑体" w:eastAsia="黑体"/>
          <w:sz w:val="32"/>
          <w:szCs w:val="32"/>
          <w:lang w:eastAsia="zh-CN"/>
        </w:rPr>
        <w:t>）</w:t>
      </w:r>
    </w:p>
    <w:tbl>
      <w:tblPr>
        <w:tblStyle w:val="5"/>
        <w:tblW w:w="9072"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0" w:type="dxa"/>
          <w:left w:w="108" w:type="dxa"/>
          <w:bottom w:w="20" w:type="dxa"/>
          <w:right w:w="108" w:type="dxa"/>
        </w:tblCellMar>
      </w:tblPr>
      <w:tblGrid>
        <w:gridCol w:w="676"/>
        <w:gridCol w:w="675"/>
        <w:gridCol w:w="1867"/>
        <w:gridCol w:w="1134"/>
        <w:gridCol w:w="4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676" w:type="dxa"/>
            <w:shd w:val="clear" w:color="auto" w:fill="E6EFF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b/>
                <w:bCs/>
                <w:sz w:val="24"/>
                <w:szCs w:val="24"/>
              </w:rPr>
            </w:pPr>
            <w:r>
              <w:rPr>
                <w:rFonts w:ascii="宋体" w:hAnsi="宋体"/>
                <w:b/>
                <w:bCs/>
                <w:szCs w:val="24"/>
              </w:rPr>
              <w:t>序号</w:t>
            </w:r>
          </w:p>
        </w:tc>
        <w:tc>
          <w:tcPr>
            <w:tcW w:w="3676" w:type="dxa"/>
            <w:gridSpan w:val="3"/>
            <w:shd w:val="clear" w:color="auto" w:fill="E6EFF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b/>
                <w:bCs/>
                <w:sz w:val="24"/>
                <w:szCs w:val="24"/>
              </w:rPr>
            </w:pPr>
            <w:r>
              <w:rPr>
                <w:rFonts w:ascii="宋体" w:hAnsi="宋体"/>
                <w:b/>
                <w:bCs/>
                <w:szCs w:val="24"/>
              </w:rPr>
              <w:t>评分项</w:t>
            </w:r>
          </w:p>
        </w:tc>
        <w:tc>
          <w:tcPr>
            <w:tcW w:w="4720" w:type="dxa"/>
            <w:shd w:val="clear" w:color="auto" w:fill="E6EFF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b/>
                <w:bCs/>
                <w:sz w:val="24"/>
                <w:szCs w:val="24"/>
              </w:rPr>
            </w:pPr>
            <w:r>
              <w:rPr>
                <w:rFonts w:ascii="宋体" w:hAnsi="宋体"/>
                <w:b/>
                <w:bCs/>
                <w:szCs w:val="24"/>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676" w:type="dxa"/>
            <w:vMerge w:val="restart"/>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b/>
                <w:bCs/>
                <w:color w:val="0000FF"/>
                <w:sz w:val="24"/>
                <w:szCs w:val="24"/>
              </w:rPr>
            </w:pPr>
            <w:r>
              <w:rPr>
                <w:rFonts w:ascii="宋体" w:hAnsi="宋体"/>
                <w:b/>
                <w:bCs/>
                <w:color w:val="0000FF"/>
                <w:szCs w:val="24"/>
              </w:rPr>
              <w:t>1</w:t>
            </w:r>
          </w:p>
        </w:tc>
        <w:tc>
          <w:tcPr>
            <w:tcW w:w="3676" w:type="dxa"/>
            <w:gridSpan w:val="3"/>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b/>
                <w:bCs/>
                <w:color w:val="0000FF"/>
                <w:sz w:val="24"/>
                <w:szCs w:val="24"/>
              </w:rPr>
            </w:pPr>
            <w:r>
              <w:rPr>
                <w:rFonts w:ascii="宋体" w:hAnsi="宋体"/>
                <w:b/>
                <w:bCs/>
                <w:color w:val="0000FF"/>
                <w:szCs w:val="24"/>
              </w:rPr>
              <w:t>价格</w:t>
            </w:r>
          </w:p>
        </w:tc>
        <w:tc>
          <w:tcPr>
            <w:tcW w:w="4720" w:type="dxa"/>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hint="default" w:ascii="宋体" w:hAnsi="宋体" w:eastAsia="宋体" w:cs="宋体"/>
                <w:b/>
                <w:bCs/>
                <w:color w:val="0000FF"/>
                <w:sz w:val="24"/>
                <w:szCs w:val="24"/>
                <w:lang w:val="en-US" w:eastAsia="zh-CN"/>
              </w:rPr>
            </w:pPr>
            <w:r>
              <w:rPr>
                <w:rFonts w:hint="eastAsia" w:ascii="宋体" w:hAnsi="宋体" w:cs="宋体"/>
                <w:b/>
                <w:bCs/>
                <w:color w:val="0000FF"/>
                <w:sz w:val="24"/>
                <w:szCs w:val="24"/>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676" w:type="dxa"/>
            <w:vMerge w:val="continue"/>
            <w:vAlign w:val="center"/>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b/>
                <w:bCs/>
                <w:color w:val="0000FF"/>
                <w:sz w:val="24"/>
                <w:szCs w:val="24"/>
              </w:rPr>
            </w:pPr>
          </w:p>
        </w:tc>
        <w:tc>
          <w:tcPr>
            <w:tcW w:w="8396" w:type="dxa"/>
            <w:gridSpan w:val="4"/>
          </w:tcPr>
          <w:p>
            <w:pPr>
              <w:keepNext w:val="0"/>
              <w:keepLines w:val="0"/>
              <w:pageBreakBefore w:val="0"/>
              <w:kinsoku/>
              <w:wordWrap w:val="0"/>
              <w:overflowPunct/>
              <w:topLinePunct w:val="0"/>
              <w:autoSpaceDE/>
              <w:autoSpaceDN/>
              <w:bidi w:val="0"/>
              <w:adjustRightInd/>
              <w:snapToGrid/>
              <w:spacing w:line="560" w:lineRule="exact"/>
              <w:textAlignment w:val="auto"/>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CellSpacing w:w="0" w:type="dxa"/>
          <w:jc w:val="center"/>
        </w:trPr>
        <w:tc>
          <w:tcPr>
            <w:tcW w:w="676" w:type="dxa"/>
            <w:vMerge w:val="restart"/>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b/>
                <w:bCs/>
                <w:color w:val="0000FF"/>
                <w:sz w:val="24"/>
                <w:szCs w:val="24"/>
              </w:rPr>
            </w:pPr>
            <w:r>
              <w:rPr>
                <w:rFonts w:ascii="宋体" w:hAnsi="宋体"/>
                <w:b/>
                <w:bCs/>
                <w:color w:val="0000FF"/>
                <w:szCs w:val="24"/>
              </w:rPr>
              <w:t>2</w:t>
            </w:r>
          </w:p>
        </w:tc>
        <w:tc>
          <w:tcPr>
            <w:tcW w:w="3676" w:type="dxa"/>
            <w:gridSpan w:val="3"/>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b/>
                <w:bCs/>
                <w:color w:val="0000FF"/>
                <w:sz w:val="24"/>
                <w:szCs w:val="24"/>
              </w:rPr>
            </w:pPr>
            <w:r>
              <w:rPr>
                <w:rFonts w:ascii="宋体" w:hAnsi="宋体"/>
                <w:b/>
                <w:bCs/>
                <w:color w:val="0000FF"/>
                <w:szCs w:val="24"/>
              </w:rPr>
              <w:t>技术</w:t>
            </w:r>
            <w:r>
              <w:rPr>
                <w:rFonts w:hint="eastAsia" w:ascii="宋体" w:hAnsi="宋体"/>
                <w:b/>
                <w:bCs/>
                <w:color w:val="0000FF"/>
                <w:szCs w:val="24"/>
              </w:rPr>
              <w:t>部分</w:t>
            </w:r>
          </w:p>
        </w:tc>
        <w:tc>
          <w:tcPr>
            <w:tcW w:w="4720" w:type="dxa"/>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hint="default" w:ascii="宋体" w:hAnsi="宋体" w:eastAsia="宋体" w:cs="宋体"/>
                <w:b/>
                <w:bCs/>
                <w:color w:val="0000FF"/>
                <w:sz w:val="24"/>
                <w:szCs w:val="24"/>
                <w:lang w:val="en-US" w:eastAsia="zh-CN"/>
              </w:rPr>
            </w:pPr>
            <w:r>
              <w:rPr>
                <w:rFonts w:hint="eastAsia" w:ascii="宋体" w:hAnsi="宋体" w:cs="宋体"/>
                <w:b/>
                <w:bCs/>
                <w:color w:val="0000FF"/>
                <w:sz w:val="24"/>
                <w:szCs w:val="24"/>
                <w:lang w:val="en-US" w:eastAsia="zh-CN"/>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676" w:type="dxa"/>
            <w:vMerge w:val="continue"/>
            <w:vAlign w:val="center"/>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b/>
                <w:bCs/>
                <w:color w:val="0000FF"/>
                <w:sz w:val="24"/>
                <w:szCs w:val="24"/>
              </w:rPr>
            </w:pPr>
          </w:p>
        </w:tc>
        <w:tc>
          <w:tcPr>
            <w:tcW w:w="8396" w:type="dxa"/>
            <w:gridSpan w:val="4"/>
          </w:tcPr>
          <w:p>
            <w:pPr>
              <w:keepNext w:val="0"/>
              <w:keepLines w:val="0"/>
              <w:pageBreakBefore w:val="0"/>
              <w:kinsoku/>
              <w:wordWrap w:val="0"/>
              <w:overflowPunct/>
              <w:topLinePunct w:val="0"/>
              <w:autoSpaceDE/>
              <w:autoSpaceDN/>
              <w:bidi w:val="0"/>
              <w:adjustRightInd/>
              <w:snapToGrid/>
              <w:spacing w:line="560" w:lineRule="exact"/>
              <w:textAlignment w:val="auto"/>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676" w:type="dxa"/>
            <w:vMerge w:val="continue"/>
            <w:shd w:val="clear" w:color="auto" w:fill="E6EFFA"/>
            <w:vAlign w:val="center"/>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b/>
                <w:bCs/>
                <w:color w:val="0000FF"/>
                <w:sz w:val="24"/>
                <w:szCs w:val="24"/>
              </w:rPr>
            </w:pPr>
          </w:p>
        </w:tc>
        <w:tc>
          <w:tcPr>
            <w:tcW w:w="675" w:type="dxa"/>
            <w:shd w:val="clear" w:color="auto" w:fill="E6EFF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ascii="宋体" w:hAnsi="宋体"/>
                <w:szCs w:val="21"/>
              </w:rPr>
              <w:t>序号</w:t>
            </w:r>
          </w:p>
        </w:tc>
        <w:tc>
          <w:tcPr>
            <w:tcW w:w="1867" w:type="dxa"/>
            <w:shd w:val="clear" w:color="auto" w:fill="E6EFF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hint="eastAsia" w:ascii="宋体" w:hAnsi="宋体"/>
                <w:szCs w:val="21"/>
              </w:rPr>
              <w:t>评审因素</w:t>
            </w:r>
          </w:p>
        </w:tc>
        <w:tc>
          <w:tcPr>
            <w:tcW w:w="1134" w:type="dxa"/>
            <w:shd w:val="clear" w:color="auto" w:fill="E6EFF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ascii="宋体" w:hAnsi="宋体"/>
                <w:szCs w:val="21"/>
              </w:rPr>
              <w:t>权重(%)</w:t>
            </w:r>
          </w:p>
        </w:tc>
        <w:tc>
          <w:tcPr>
            <w:tcW w:w="4720" w:type="dxa"/>
            <w:shd w:val="clear" w:color="auto" w:fill="E6EFF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rHeight w:val="819" w:hRule="atLeast"/>
          <w:tblCellSpacing w:w="0" w:type="dxa"/>
          <w:jc w:val="center"/>
        </w:trPr>
        <w:tc>
          <w:tcPr>
            <w:tcW w:w="676" w:type="dxa"/>
            <w:vMerge w:val="continue"/>
            <w:vAlign w:val="center"/>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b/>
                <w:bCs/>
                <w:color w:val="0000FF"/>
                <w:sz w:val="24"/>
                <w:szCs w:val="24"/>
              </w:rPr>
            </w:pPr>
          </w:p>
        </w:tc>
        <w:tc>
          <w:tcPr>
            <w:tcW w:w="675"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ascii="宋体" w:hAnsi="宋体"/>
                <w:szCs w:val="21"/>
              </w:rPr>
              <w:t>1</w:t>
            </w:r>
          </w:p>
        </w:tc>
        <w:tc>
          <w:tcPr>
            <w:tcW w:w="1867"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hint="eastAsia" w:ascii="宋体" w:hAnsi="宋体"/>
                <w:szCs w:val="21"/>
                <w:lang w:eastAsia="zh-CN"/>
              </w:rPr>
            </w:pPr>
            <w:r>
              <w:rPr>
                <w:rFonts w:hint="eastAsia" w:ascii="宋体" w:hAnsi="宋体"/>
                <w:szCs w:val="21"/>
                <w:lang w:eastAsia="zh-CN"/>
              </w:rPr>
              <w:t>集训整体</w:t>
            </w:r>
          </w:p>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hint="eastAsia" w:ascii="宋体" w:hAnsi="宋体"/>
                <w:szCs w:val="21"/>
              </w:rPr>
              <w:t>实施方案</w:t>
            </w:r>
          </w:p>
        </w:tc>
        <w:tc>
          <w:tcPr>
            <w:tcW w:w="1134"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hint="eastAsia" w:ascii="宋体" w:hAnsi="宋体"/>
                <w:szCs w:val="21"/>
              </w:rPr>
              <w:t>15</w:t>
            </w:r>
          </w:p>
        </w:tc>
        <w:tc>
          <w:tcPr>
            <w:tcW w:w="4720" w:type="dxa"/>
          </w:tcPr>
          <w:p>
            <w:pPr>
              <w:keepNext w:val="0"/>
              <w:keepLines w:val="0"/>
              <w:pageBreakBefore w:val="0"/>
              <w:kinsoku/>
              <w:overflowPunct/>
              <w:topLinePunct w:val="0"/>
              <w:autoSpaceDE/>
              <w:autoSpaceDN/>
              <w:bidi w:val="0"/>
              <w:adjustRightInd/>
              <w:snapToGrid/>
              <w:spacing w:line="560" w:lineRule="exact"/>
              <w:textAlignment w:val="auto"/>
              <w:rPr>
                <w:rFonts w:hint="eastAsia" w:ascii="宋体" w:hAnsi="宋体" w:eastAsia="宋体"/>
                <w:szCs w:val="21"/>
                <w:lang w:eastAsia="zh-CN"/>
              </w:rPr>
            </w:pPr>
            <w:r>
              <w:rPr>
                <w:rFonts w:hint="eastAsia" w:ascii="宋体" w:hAnsi="宋体"/>
                <w:szCs w:val="21"/>
              </w:rPr>
              <w:t>评审内容：完全依据本项目40人分两批次封闭集训需求编制，完整包含场地布置统筹、食宿保障安排、集训后勤组织、参训考勤管理、影像素材收集归档五个独立完整章节</w:t>
            </w:r>
            <w:r>
              <w:rPr>
                <w:rFonts w:hint="eastAsia" w:ascii="宋体" w:hAnsi="宋体"/>
                <w:szCs w:val="21"/>
                <w:lang w:eastAsia="zh-CN"/>
              </w:rPr>
              <w:t>，</w:t>
            </w:r>
            <w:r>
              <w:rPr>
                <w:rFonts w:hint="eastAsia" w:ascii="宋体" w:hAnsi="宋体"/>
                <w:szCs w:val="21"/>
              </w:rPr>
              <w:t>明确列明两批次集训每日工作时序、专属对接人员及联系方式、采购人工作对接流转流程、突发事项对接处置流程，内容完整、逻辑清晰、可直接落地执行，得15分</w:t>
            </w:r>
            <w:r>
              <w:rPr>
                <w:rFonts w:hint="eastAsia" w:ascii="宋体" w:hAnsi="宋体"/>
                <w:szCs w:val="21"/>
                <w:lang w:eastAsia="zh-CN"/>
              </w:rPr>
              <w:t>。</w:t>
            </w:r>
          </w:p>
          <w:p>
            <w:pPr>
              <w:keepNext w:val="0"/>
              <w:keepLines w:val="0"/>
              <w:pageBreakBefore w:val="0"/>
              <w:kinsoku/>
              <w:overflowPunct/>
              <w:topLinePunct w:val="0"/>
              <w:autoSpaceDE/>
              <w:autoSpaceDN/>
              <w:bidi w:val="0"/>
              <w:adjustRightInd/>
              <w:snapToGrid/>
              <w:spacing w:line="560" w:lineRule="exact"/>
              <w:textAlignment w:val="auto"/>
              <w:rPr>
                <w:rFonts w:hint="eastAsia" w:ascii="宋体" w:hAnsi="宋体" w:eastAsia="宋体" w:cs="宋体"/>
                <w:szCs w:val="21"/>
                <w:lang w:eastAsia="zh-CN"/>
              </w:rPr>
            </w:pPr>
            <w:r>
              <w:rPr>
                <w:rFonts w:hint="eastAsia" w:ascii="宋体" w:hAnsi="宋体"/>
                <w:szCs w:val="21"/>
              </w:rPr>
              <w:t>完整包含五个核心章节，但时序安排、对接流程、岗位职责仅作概括性表述，无细化落地细则，整体方案贴合项目需求、可正常开展集训工作，得10分</w:t>
            </w:r>
            <w:r>
              <w:rPr>
                <w:rFonts w:hint="eastAsia" w:ascii="宋体" w:hAnsi="宋体"/>
                <w:szCs w:val="21"/>
                <w:lang w:eastAsia="zh-CN"/>
              </w:rPr>
              <w:t>。</w:t>
            </w:r>
            <w:r>
              <w:rPr>
                <w:rFonts w:hint="eastAsia" w:ascii="宋体" w:hAnsi="宋体"/>
                <w:szCs w:val="21"/>
              </w:rPr>
              <w:t>仅包含3</w:t>
            </w:r>
            <w:r>
              <w:rPr>
                <w:rFonts w:hint="eastAsia" w:ascii="宋体" w:hAnsi="宋体"/>
                <w:szCs w:val="21"/>
                <w:lang w:val="en-US" w:eastAsia="zh-CN"/>
              </w:rPr>
              <w:t>-4</w:t>
            </w:r>
            <w:r>
              <w:rPr>
                <w:rFonts w:hint="eastAsia" w:ascii="宋体" w:hAnsi="宋体"/>
                <w:szCs w:val="21"/>
              </w:rPr>
              <w:t>个核心章节，关键环节内容简略、流程不完善，仅能满足项目基础最低运行要求，得6分。</w:t>
            </w:r>
            <w:r>
              <w:rPr>
                <w:rFonts w:hint="eastAsia" w:ascii="宋体" w:hAnsi="宋体"/>
                <w:szCs w:val="21"/>
                <w:lang w:eastAsia="zh-CN"/>
              </w:rPr>
              <w:t>未提供集训整体实施方案的，不得分。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676" w:type="dxa"/>
            <w:vMerge w:val="continue"/>
            <w:vAlign w:val="center"/>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b/>
                <w:bCs/>
                <w:color w:val="0000FF"/>
                <w:sz w:val="24"/>
                <w:szCs w:val="24"/>
              </w:rPr>
            </w:pPr>
          </w:p>
        </w:tc>
        <w:tc>
          <w:tcPr>
            <w:tcW w:w="675"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ascii="宋体" w:hAnsi="宋体"/>
                <w:szCs w:val="21"/>
              </w:rPr>
              <w:t>2</w:t>
            </w:r>
          </w:p>
        </w:tc>
        <w:tc>
          <w:tcPr>
            <w:tcW w:w="1867"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hint="eastAsia" w:ascii="宋体" w:hAnsi="宋体" w:eastAsia="宋体" w:cs="宋体"/>
                <w:szCs w:val="21"/>
                <w:lang w:eastAsia="zh-CN"/>
              </w:rPr>
            </w:pPr>
            <w:r>
              <w:rPr>
                <w:rFonts w:hint="eastAsia" w:ascii="宋体" w:hAnsi="宋体" w:eastAsia="宋体" w:cs="宋体"/>
                <w:szCs w:val="21"/>
                <w:lang w:eastAsia="zh-CN"/>
              </w:rPr>
              <w:t>场地硬件与食宿响应方案</w:t>
            </w:r>
          </w:p>
        </w:tc>
        <w:tc>
          <w:tcPr>
            <w:tcW w:w="1134"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hint="eastAsia" w:ascii="宋体" w:hAnsi="宋体"/>
                <w:szCs w:val="21"/>
              </w:rPr>
              <w:t>15</w:t>
            </w:r>
          </w:p>
        </w:tc>
        <w:tc>
          <w:tcPr>
            <w:tcW w:w="4720" w:type="dxa"/>
            <w:vAlign w:val="center"/>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szCs w:val="21"/>
              </w:rPr>
            </w:pPr>
            <w:r>
              <w:rPr>
                <w:rFonts w:hint="eastAsia" w:ascii="宋体" w:hAnsi="宋体" w:cs="宋体"/>
                <w:szCs w:val="21"/>
                <w:lang w:eastAsia="zh-CN"/>
              </w:rPr>
              <w:t>评审内容：完整响应采购需求全部住宿、餐饮、场地硬件标准，书面逐条承诺所有指标，同时提供真实可辨识的集训基地实景照片（含训练场地、器械区、多媒体教室、客房、餐厅），可完全佐证全部硬件及配套条件达标，得15分。逐条书面响应全部食宿、场地硬性标准，承诺内容完整规范，但未提供场地实景佐证材料，可保障集训正常开展，得10分。食宿、场地核心指标全部达标，仅部分次要配套内容描述简略，可满足项目基本集训需求，得6分。未</w:t>
            </w:r>
            <w:r>
              <w:rPr>
                <w:rFonts w:hint="eastAsia" w:ascii="宋体" w:hAnsi="宋体"/>
                <w:szCs w:val="21"/>
                <w:lang w:eastAsia="zh-CN"/>
              </w:rPr>
              <w:t>提供场地硬件与食宿响应方案的，不得分。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676" w:type="dxa"/>
            <w:vMerge w:val="continue"/>
            <w:vAlign w:val="center"/>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b/>
                <w:bCs/>
                <w:color w:val="0000FF"/>
                <w:sz w:val="24"/>
                <w:szCs w:val="24"/>
              </w:rPr>
            </w:pPr>
          </w:p>
        </w:tc>
        <w:tc>
          <w:tcPr>
            <w:tcW w:w="675"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ascii="宋体" w:hAnsi="宋体"/>
                <w:szCs w:val="21"/>
              </w:rPr>
              <w:t>3</w:t>
            </w:r>
          </w:p>
        </w:tc>
        <w:tc>
          <w:tcPr>
            <w:tcW w:w="1867"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hint="eastAsia" w:ascii="宋体" w:hAnsi="宋体" w:cs="宋体"/>
                <w:szCs w:val="21"/>
              </w:rPr>
              <w:t>安全保障及突发事件应急处置方案</w:t>
            </w:r>
          </w:p>
        </w:tc>
        <w:tc>
          <w:tcPr>
            <w:tcW w:w="1134"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hint="eastAsia" w:ascii="宋体" w:hAnsi="宋体"/>
                <w:szCs w:val="21"/>
              </w:rPr>
              <w:t>15</w:t>
            </w:r>
          </w:p>
        </w:tc>
        <w:tc>
          <w:tcPr>
            <w:tcW w:w="4720" w:type="dxa"/>
            <w:vAlign w:val="center"/>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szCs w:val="21"/>
              </w:rPr>
            </w:pPr>
            <w:r>
              <w:rPr>
                <w:rFonts w:hint="eastAsia" w:ascii="宋体" w:hAnsi="宋体"/>
                <w:szCs w:val="21"/>
              </w:rPr>
              <w:t>评审内容：完整包含全员意外险投保方案、场地消防巡查制度、食品卫生巡查制度、训练场地安全巡查制度并明确巡查频次</w:t>
            </w:r>
            <w:r>
              <w:rPr>
                <w:rFonts w:hint="eastAsia" w:ascii="宋体" w:hAnsi="宋体"/>
                <w:szCs w:val="21"/>
                <w:lang w:eastAsia="zh-CN"/>
              </w:rPr>
              <w:t>，</w:t>
            </w:r>
            <w:r>
              <w:rPr>
                <w:rFonts w:hint="eastAsia" w:ascii="宋体" w:hAnsi="宋体"/>
                <w:szCs w:val="21"/>
              </w:rPr>
              <w:t>针对参训人员摔伤、突发疾病、食物中毒、场地火灾四类核心风险，逐项列明现场处置步骤、上报流程、应急联络人员及电话、事后处置闭环措施，制度健全、预案完整、可直接执行，得15分</w:t>
            </w:r>
            <w:r>
              <w:rPr>
                <w:rFonts w:hint="eastAsia" w:ascii="宋体" w:hAnsi="宋体"/>
                <w:szCs w:val="21"/>
                <w:lang w:eastAsia="zh-CN"/>
              </w:rPr>
              <w:t>。</w:t>
            </w:r>
            <w:r>
              <w:rPr>
                <w:rFonts w:hint="eastAsia" w:ascii="宋体" w:hAnsi="宋体"/>
                <w:szCs w:val="21"/>
              </w:rPr>
              <w:t>包含保险投保、日常巡查制度及四类突发事件处置内容，但部分处置流程、闭环措施描述简略，具备完善风险防控能力，得10分</w:t>
            </w:r>
            <w:r>
              <w:rPr>
                <w:rFonts w:hint="eastAsia" w:ascii="宋体" w:hAnsi="宋体"/>
                <w:szCs w:val="21"/>
                <w:lang w:eastAsia="zh-CN"/>
              </w:rPr>
              <w:t>。</w:t>
            </w:r>
            <w:r>
              <w:rPr>
                <w:rFonts w:hint="eastAsia" w:ascii="宋体" w:hAnsi="宋体"/>
                <w:szCs w:val="21"/>
              </w:rPr>
              <w:t>包含基础安全保障及主要突发事件处置内容，覆盖核心安全风险，可满足项目最低安全保障要求，得6分。</w:t>
            </w:r>
            <w:r>
              <w:rPr>
                <w:rFonts w:hint="eastAsia" w:ascii="宋体" w:hAnsi="宋体"/>
                <w:szCs w:val="21"/>
                <w:lang w:eastAsia="zh-CN"/>
              </w:rPr>
              <w:t>未提供安全保障及突发事件应急处置方案的，不得分。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rHeight w:val="4623" w:hRule="atLeast"/>
          <w:tblCellSpacing w:w="0" w:type="dxa"/>
          <w:jc w:val="center"/>
        </w:trPr>
        <w:tc>
          <w:tcPr>
            <w:tcW w:w="676" w:type="dxa"/>
            <w:vMerge w:val="continue"/>
            <w:vAlign w:val="center"/>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b/>
                <w:bCs/>
                <w:color w:val="0000FF"/>
                <w:sz w:val="24"/>
                <w:szCs w:val="24"/>
              </w:rPr>
            </w:pPr>
          </w:p>
        </w:tc>
        <w:tc>
          <w:tcPr>
            <w:tcW w:w="675"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hint="eastAsia" w:ascii="宋体" w:hAnsi="宋体"/>
                <w:szCs w:val="21"/>
              </w:rPr>
              <w:t>4</w:t>
            </w:r>
          </w:p>
        </w:tc>
        <w:tc>
          <w:tcPr>
            <w:tcW w:w="1867"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hint="eastAsia" w:ascii="宋体" w:hAnsi="宋体" w:cs="宋体"/>
                <w:szCs w:val="21"/>
              </w:rPr>
              <w:t>集训收尾交付承诺</w:t>
            </w:r>
          </w:p>
        </w:tc>
        <w:tc>
          <w:tcPr>
            <w:tcW w:w="1134"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hint="default" w:ascii="宋体" w:hAnsi="宋体" w:eastAsia="宋体" w:cs="宋体"/>
                <w:szCs w:val="21"/>
                <w:lang w:val="en-US" w:eastAsia="zh-CN"/>
              </w:rPr>
            </w:pPr>
            <w:r>
              <w:rPr>
                <w:rFonts w:hint="eastAsia" w:ascii="宋体" w:hAnsi="宋体" w:cs="宋体"/>
                <w:szCs w:val="21"/>
                <w:lang w:val="en-US" w:eastAsia="zh-CN"/>
              </w:rPr>
              <w:t>10</w:t>
            </w:r>
          </w:p>
        </w:tc>
        <w:tc>
          <w:tcPr>
            <w:tcW w:w="4720" w:type="dxa"/>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szCs w:val="21"/>
              </w:rPr>
            </w:pPr>
            <w:r>
              <w:rPr>
                <w:rFonts w:hint="eastAsia" w:ascii="宋体" w:hAnsi="宋体" w:cs="宋体"/>
                <w:szCs w:val="21"/>
                <w:lang w:eastAsia="zh-CN"/>
              </w:rPr>
              <w:t>评审内容：书面明确承诺完整交付全部集训原始照片、视频素材，独立编制正式集训总结报告，明确专人对接、逐项配合采购人完成全套资料归档移交工作，三项内容全部细化明确，得</w:t>
            </w:r>
            <w:r>
              <w:rPr>
                <w:rFonts w:hint="eastAsia" w:ascii="宋体" w:hAnsi="宋体" w:cs="宋体"/>
                <w:szCs w:val="21"/>
                <w:lang w:val="en-US" w:eastAsia="zh-CN"/>
              </w:rPr>
              <w:t>10</w:t>
            </w:r>
            <w:r>
              <w:rPr>
                <w:rFonts w:hint="eastAsia" w:ascii="宋体" w:hAnsi="宋体" w:cs="宋体"/>
                <w:szCs w:val="21"/>
                <w:lang w:eastAsia="zh-CN"/>
              </w:rPr>
              <w:t>分。承诺交付全部影像素材及集训总结报告，但归档配合工作未细化说明，得</w:t>
            </w:r>
            <w:r>
              <w:rPr>
                <w:rFonts w:hint="eastAsia" w:ascii="宋体" w:hAnsi="宋体" w:cs="宋体"/>
                <w:szCs w:val="21"/>
                <w:lang w:val="en-US" w:eastAsia="zh-CN"/>
              </w:rPr>
              <w:t>7</w:t>
            </w:r>
            <w:r>
              <w:rPr>
                <w:rFonts w:hint="eastAsia" w:ascii="宋体" w:hAnsi="宋体" w:cs="宋体"/>
                <w:szCs w:val="21"/>
                <w:lang w:eastAsia="zh-CN"/>
              </w:rPr>
              <w:t>分。仅承诺交付基础集训影像资料，可完成基础资料交付工作，得</w:t>
            </w:r>
            <w:r>
              <w:rPr>
                <w:rFonts w:hint="eastAsia" w:ascii="宋体" w:hAnsi="宋体" w:cs="宋体"/>
                <w:szCs w:val="21"/>
                <w:lang w:val="en-US" w:eastAsia="zh-CN"/>
              </w:rPr>
              <w:t>4</w:t>
            </w:r>
            <w:r>
              <w:rPr>
                <w:rFonts w:hint="eastAsia" w:ascii="宋体" w:hAnsi="宋体" w:cs="宋体"/>
                <w:szCs w:val="21"/>
                <w:lang w:eastAsia="zh-CN"/>
              </w:rPr>
              <w:t>分。未</w:t>
            </w:r>
            <w:r>
              <w:rPr>
                <w:rFonts w:hint="eastAsia" w:ascii="宋体" w:hAnsi="宋体"/>
                <w:szCs w:val="21"/>
                <w:lang w:eastAsia="zh-CN"/>
              </w:rPr>
              <w:t>对集训收尾交付承诺的，不得分。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rHeight w:val="3276" w:hRule="atLeast"/>
          <w:tblCellSpacing w:w="0" w:type="dxa"/>
          <w:jc w:val="center"/>
        </w:trPr>
        <w:tc>
          <w:tcPr>
            <w:tcW w:w="676" w:type="dxa"/>
            <w:vMerge w:val="continue"/>
            <w:vAlign w:val="center"/>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b/>
                <w:bCs/>
                <w:color w:val="0000FF"/>
                <w:sz w:val="24"/>
                <w:szCs w:val="24"/>
              </w:rPr>
            </w:pPr>
          </w:p>
        </w:tc>
        <w:tc>
          <w:tcPr>
            <w:tcW w:w="675"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hint="eastAsia" w:ascii="宋体" w:hAnsi="宋体"/>
                <w:szCs w:val="21"/>
              </w:rPr>
              <w:t>5</w:t>
            </w:r>
          </w:p>
        </w:tc>
        <w:tc>
          <w:tcPr>
            <w:tcW w:w="1867"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hint="eastAsia" w:ascii="宋体" w:hAnsi="宋体" w:cs="宋体"/>
                <w:szCs w:val="21"/>
              </w:rPr>
              <w:t>服务质量违约承诺</w:t>
            </w:r>
          </w:p>
        </w:tc>
        <w:tc>
          <w:tcPr>
            <w:tcW w:w="1134"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hint="eastAsia" w:ascii="宋体" w:hAnsi="宋体"/>
                <w:szCs w:val="21"/>
              </w:rPr>
              <w:t>5</w:t>
            </w:r>
          </w:p>
        </w:tc>
        <w:tc>
          <w:tcPr>
            <w:tcW w:w="4720" w:type="dxa"/>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宋体" w:hAnsi="宋体" w:eastAsia="宋体" w:cs="Times New Roman"/>
                <w:kern w:val="2"/>
                <w:sz w:val="21"/>
                <w:szCs w:val="20"/>
                <w:lang w:val="en-US" w:eastAsia="zh-CN" w:bidi="ar-SA"/>
              </w:rPr>
            </w:pPr>
            <w:r>
              <w:rPr>
                <w:rFonts w:hint="eastAsia" w:ascii="宋体" w:hAnsi="宋体" w:eastAsia="宋体" w:cs="宋体"/>
                <w:szCs w:val="21"/>
                <w:lang w:val="en-US" w:eastAsia="zh-CN"/>
              </w:rPr>
              <w:t>评审内容：书面完整明确承诺本项目专属服务团队配置标准、食宿场地服务执行标准、服务不达标违约处置措施，三项承诺内容清晰、权责明确、具备完整约束力，得5分</w:t>
            </w:r>
            <w:r>
              <w:rPr>
                <w:rFonts w:hint="eastAsia" w:ascii="宋体" w:hAnsi="宋体" w:cs="宋体"/>
                <w:szCs w:val="21"/>
                <w:lang w:val="en-US" w:eastAsia="zh-CN"/>
              </w:rPr>
              <w:t>。</w:t>
            </w:r>
            <w:r>
              <w:rPr>
                <w:rFonts w:hint="eastAsia" w:ascii="宋体" w:hAnsi="宋体" w:eastAsia="宋体" w:cs="宋体"/>
                <w:szCs w:val="21"/>
                <w:lang w:val="en-US" w:eastAsia="zh-CN"/>
              </w:rPr>
              <w:t>完整承诺两项内容，剩余一项内容表述简略、约束性较弱，得3分</w:t>
            </w:r>
            <w:r>
              <w:rPr>
                <w:rFonts w:hint="eastAsia" w:ascii="宋体" w:hAnsi="宋体" w:cs="宋体"/>
                <w:szCs w:val="21"/>
                <w:lang w:val="en-US" w:eastAsia="zh-CN"/>
              </w:rPr>
              <w:t>。</w:t>
            </w:r>
            <w:r>
              <w:rPr>
                <w:rFonts w:hint="eastAsia" w:ascii="宋体" w:hAnsi="宋体" w:eastAsia="宋体" w:cs="宋体"/>
                <w:szCs w:val="21"/>
                <w:lang w:val="en-US" w:eastAsia="zh-CN"/>
              </w:rPr>
              <w:t>至少完整承诺一项内容，具备基础服务管控约束，得2分。未对</w:t>
            </w:r>
            <w:r>
              <w:rPr>
                <w:rFonts w:hint="eastAsia" w:ascii="宋体" w:hAnsi="宋体" w:cs="宋体"/>
                <w:szCs w:val="21"/>
              </w:rPr>
              <w:t>服务质量违约承诺</w:t>
            </w:r>
            <w:r>
              <w:rPr>
                <w:rFonts w:hint="eastAsia" w:ascii="宋体" w:hAnsi="宋体" w:cs="宋体"/>
                <w:szCs w:val="21"/>
                <w:lang w:eastAsia="zh-CN"/>
              </w:rPr>
              <w:t>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rHeight w:val="461" w:hRule="atLeast"/>
          <w:tblCellSpacing w:w="0" w:type="dxa"/>
          <w:jc w:val="center"/>
        </w:trPr>
        <w:tc>
          <w:tcPr>
            <w:tcW w:w="676" w:type="dxa"/>
            <w:vMerge w:val="restart"/>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b/>
                <w:bCs/>
                <w:color w:val="0000FF"/>
                <w:sz w:val="24"/>
                <w:szCs w:val="24"/>
              </w:rPr>
            </w:pPr>
            <w:r>
              <w:rPr>
                <w:rFonts w:ascii="宋体" w:hAnsi="宋体"/>
                <w:b/>
                <w:bCs/>
                <w:color w:val="0000FF"/>
                <w:szCs w:val="24"/>
              </w:rPr>
              <w:t>3</w:t>
            </w:r>
          </w:p>
        </w:tc>
        <w:tc>
          <w:tcPr>
            <w:tcW w:w="3676" w:type="dxa"/>
            <w:gridSpan w:val="3"/>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hint="eastAsia" w:ascii="宋体" w:hAnsi="宋体" w:eastAsia="宋体" w:cs="宋体"/>
                <w:b/>
                <w:bCs/>
                <w:color w:val="0000FF"/>
                <w:sz w:val="24"/>
                <w:szCs w:val="24"/>
                <w:lang w:eastAsia="zh-CN"/>
              </w:rPr>
            </w:pPr>
            <w:r>
              <w:rPr>
                <w:rFonts w:hint="eastAsia" w:ascii="宋体" w:hAnsi="宋体" w:cs="宋体"/>
                <w:b/>
                <w:bCs/>
                <w:color w:val="0000FF"/>
                <w:sz w:val="24"/>
                <w:szCs w:val="24"/>
                <w:lang w:eastAsia="zh-CN"/>
              </w:rPr>
              <w:t>商务部分</w:t>
            </w:r>
          </w:p>
        </w:tc>
        <w:tc>
          <w:tcPr>
            <w:tcW w:w="4720" w:type="dxa"/>
          </w:tcPr>
          <w:p>
            <w:pPr>
              <w:keepNext w:val="0"/>
              <w:keepLines w:val="0"/>
              <w:pageBreakBefore w:val="0"/>
              <w:kinsoku/>
              <w:overflowPunct/>
              <w:topLinePunct w:val="0"/>
              <w:autoSpaceDE/>
              <w:autoSpaceDN/>
              <w:bidi w:val="0"/>
              <w:adjustRightInd/>
              <w:snapToGrid/>
              <w:spacing w:line="560" w:lineRule="exact"/>
              <w:jc w:val="center"/>
              <w:textAlignment w:val="auto"/>
              <w:rPr>
                <w:rFonts w:hint="default" w:ascii="宋体" w:hAnsi="宋体" w:eastAsia="宋体" w:cs="宋体"/>
                <w:b/>
                <w:bCs/>
                <w:color w:val="0000FF"/>
                <w:sz w:val="24"/>
                <w:szCs w:val="24"/>
                <w:lang w:val="en-US" w:eastAsia="zh-CN"/>
              </w:rPr>
            </w:pPr>
            <w:r>
              <w:rPr>
                <w:rFonts w:hint="eastAsia" w:ascii="宋体" w:hAnsi="宋体" w:cs="宋体"/>
                <w:b/>
                <w:bCs/>
                <w:color w:val="0000FF"/>
                <w:sz w:val="24"/>
                <w:szCs w:val="24"/>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676" w:type="dxa"/>
            <w:vMerge w:val="continue"/>
            <w:vAlign w:val="center"/>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b/>
                <w:bCs/>
                <w:color w:val="0000FF"/>
                <w:sz w:val="24"/>
                <w:szCs w:val="24"/>
              </w:rPr>
            </w:pPr>
          </w:p>
        </w:tc>
        <w:tc>
          <w:tcPr>
            <w:tcW w:w="8396" w:type="dxa"/>
            <w:gridSpan w:val="4"/>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676" w:type="dxa"/>
            <w:vMerge w:val="continue"/>
            <w:shd w:val="clear" w:color="auto" w:fill="E6EFFA"/>
            <w:vAlign w:val="center"/>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b/>
                <w:bCs/>
                <w:color w:val="0000FF"/>
                <w:sz w:val="24"/>
                <w:szCs w:val="24"/>
              </w:rPr>
            </w:pPr>
          </w:p>
        </w:tc>
        <w:tc>
          <w:tcPr>
            <w:tcW w:w="675" w:type="dxa"/>
            <w:shd w:val="clear" w:color="auto" w:fill="E6EFF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ascii="宋体" w:hAnsi="宋体"/>
                <w:szCs w:val="21"/>
              </w:rPr>
              <w:t>序号</w:t>
            </w:r>
          </w:p>
        </w:tc>
        <w:tc>
          <w:tcPr>
            <w:tcW w:w="1867" w:type="dxa"/>
            <w:shd w:val="clear" w:color="auto" w:fill="E6EFF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hint="eastAsia" w:ascii="宋体" w:hAnsi="宋体"/>
                <w:szCs w:val="21"/>
              </w:rPr>
              <w:t>评审因素</w:t>
            </w:r>
          </w:p>
        </w:tc>
        <w:tc>
          <w:tcPr>
            <w:tcW w:w="1134" w:type="dxa"/>
            <w:shd w:val="clear" w:color="auto" w:fill="E6EFF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ascii="宋体" w:hAnsi="宋体"/>
                <w:szCs w:val="21"/>
              </w:rPr>
              <w:t>权重(%)</w:t>
            </w:r>
          </w:p>
        </w:tc>
        <w:tc>
          <w:tcPr>
            <w:tcW w:w="4720" w:type="dxa"/>
            <w:shd w:val="clear" w:color="auto" w:fill="E6EFF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ascii="宋体" w:hAnsi="宋体" w:cs="宋体"/>
                <w:szCs w:val="21"/>
              </w:rPr>
            </w:pPr>
            <w:r>
              <w:rPr>
                <w:rFonts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rHeight w:val="1456" w:hRule="atLeast"/>
          <w:tblCellSpacing w:w="0" w:type="dxa"/>
          <w:jc w:val="center"/>
        </w:trPr>
        <w:tc>
          <w:tcPr>
            <w:tcW w:w="676" w:type="dxa"/>
            <w:vMerge w:val="continue"/>
            <w:vAlign w:val="center"/>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b/>
                <w:bCs/>
                <w:color w:val="0000FF"/>
                <w:sz w:val="24"/>
                <w:szCs w:val="24"/>
              </w:rPr>
            </w:pPr>
          </w:p>
        </w:tc>
        <w:tc>
          <w:tcPr>
            <w:tcW w:w="675"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ascii="宋体" w:hAnsi="宋体"/>
                <w:szCs w:val="21"/>
              </w:rPr>
              <w:t>1</w:t>
            </w:r>
          </w:p>
        </w:tc>
        <w:tc>
          <w:tcPr>
            <w:tcW w:w="1867"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hint="eastAsia" w:ascii="宋体" w:hAnsi="宋体" w:cs="宋体"/>
                <w:szCs w:val="21"/>
              </w:rPr>
              <w:t>同类项目业绩情况</w:t>
            </w:r>
          </w:p>
        </w:tc>
        <w:tc>
          <w:tcPr>
            <w:tcW w:w="1134"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hint="eastAsia" w:ascii="宋体" w:hAnsi="宋体" w:eastAsia="宋体" w:cs="宋体"/>
                <w:szCs w:val="21"/>
                <w:lang w:val="en-US" w:eastAsia="zh-CN"/>
              </w:rPr>
            </w:pPr>
            <w:r>
              <w:rPr>
                <w:rFonts w:ascii="宋体" w:hAnsi="宋体"/>
                <w:szCs w:val="21"/>
              </w:rPr>
              <w:t>1</w:t>
            </w:r>
            <w:r>
              <w:rPr>
                <w:rFonts w:hint="eastAsia" w:ascii="宋体" w:hAnsi="宋体"/>
                <w:szCs w:val="21"/>
                <w:lang w:val="en-US" w:eastAsia="zh-CN"/>
              </w:rPr>
              <w:t>5</w:t>
            </w:r>
          </w:p>
        </w:tc>
        <w:tc>
          <w:tcPr>
            <w:tcW w:w="4720" w:type="dxa"/>
            <w:vAlign w:val="center"/>
          </w:tcPr>
          <w:p>
            <w:pPr>
              <w:keepNext w:val="0"/>
              <w:keepLines w:val="0"/>
              <w:pageBreakBefore w:val="0"/>
              <w:widowControl/>
              <w:suppressLineNumbers w:val="0"/>
              <w:kinsoku/>
              <w:overflowPunct/>
              <w:topLinePunct w:val="0"/>
              <w:autoSpaceDE/>
              <w:autoSpaceDN/>
              <w:bidi w:val="0"/>
              <w:adjustRightInd/>
              <w:snapToGrid/>
              <w:spacing w:line="560" w:lineRule="exact"/>
              <w:jc w:val="left"/>
              <w:textAlignment w:val="auto"/>
              <w:rPr>
                <w:rFonts w:hint="eastAsia" w:ascii="宋体" w:hAnsi="宋体" w:eastAsia="宋体" w:cs="Times New Roman"/>
                <w:kern w:val="2"/>
                <w:sz w:val="21"/>
                <w:szCs w:val="20"/>
                <w:lang w:val="en-US" w:eastAsia="zh-CN" w:bidi="ar-SA"/>
              </w:rPr>
            </w:pPr>
            <w:r>
              <w:rPr>
                <w:rFonts w:hint="eastAsia" w:ascii="宋体" w:hAnsi="宋体" w:cs="Times New Roman"/>
                <w:kern w:val="2"/>
                <w:sz w:val="21"/>
                <w:szCs w:val="20"/>
                <w:lang w:val="en-US" w:eastAsia="zh-CN" w:bidi="ar-SA"/>
              </w:rPr>
              <w:t>能</w:t>
            </w:r>
            <w:r>
              <w:rPr>
                <w:rFonts w:hint="eastAsia" w:ascii="宋体" w:hAnsi="宋体" w:eastAsia="宋体" w:cs="Times New Roman"/>
                <w:kern w:val="2"/>
                <w:sz w:val="21"/>
                <w:szCs w:val="20"/>
                <w:lang w:val="en-US" w:eastAsia="zh-CN" w:bidi="ar-SA"/>
              </w:rPr>
              <w:t>提供2份及以上</w:t>
            </w:r>
            <w:r>
              <w:rPr>
                <w:rFonts w:hint="eastAsia" w:ascii="宋体" w:hAnsi="宋体" w:cs="Times New Roman"/>
                <w:kern w:val="2"/>
                <w:sz w:val="21"/>
                <w:szCs w:val="20"/>
                <w:lang w:val="en-US" w:eastAsia="zh-CN" w:bidi="ar-SA"/>
              </w:rPr>
              <w:t>近3年内的</w:t>
            </w:r>
            <w:r>
              <w:rPr>
                <w:rFonts w:hint="eastAsia" w:ascii="宋体" w:hAnsi="宋体" w:eastAsia="宋体" w:cs="Times New Roman"/>
                <w:kern w:val="2"/>
                <w:sz w:val="21"/>
                <w:szCs w:val="20"/>
                <w:lang w:val="en-US" w:eastAsia="zh-CN" w:bidi="ar-SA"/>
              </w:rPr>
              <w:t>有效同类业绩，每份业绩同时提供合同关键页</w:t>
            </w:r>
            <w:r>
              <w:rPr>
                <w:rFonts w:hint="eastAsia" w:ascii="宋体" w:hAnsi="宋体" w:cs="Times New Roman"/>
                <w:kern w:val="2"/>
                <w:sz w:val="21"/>
                <w:szCs w:val="20"/>
                <w:lang w:val="en-US" w:eastAsia="zh-CN" w:bidi="ar-SA"/>
              </w:rPr>
              <w:t>和</w:t>
            </w:r>
            <w:r>
              <w:rPr>
                <w:rFonts w:hint="eastAsia" w:ascii="宋体" w:hAnsi="宋体" w:eastAsia="宋体" w:cs="Times New Roman"/>
                <w:kern w:val="2"/>
                <w:sz w:val="21"/>
                <w:szCs w:val="20"/>
                <w:lang w:val="en-US" w:eastAsia="zh-CN" w:bidi="ar-SA"/>
              </w:rPr>
              <w:t>甲方正式验收合格证明，项目为</w:t>
            </w:r>
            <w:r>
              <w:rPr>
                <w:rFonts w:hint="eastAsia" w:ascii="宋体" w:hAnsi="宋体" w:cs="Times New Roman"/>
                <w:kern w:val="2"/>
                <w:sz w:val="21"/>
                <w:szCs w:val="20"/>
                <w:lang w:val="en-US" w:eastAsia="zh-CN" w:bidi="ar-SA"/>
              </w:rPr>
              <w:t>政法机关、民辅警</w:t>
            </w:r>
            <w:r>
              <w:rPr>
                <w:rFonts w:hint="eastAsia" w:ascii="宋体" w:hAnsi="宋体" w:eastAsia="宋体" w:cs="Times New Roman"/>
                <w:kern w:val="2"/>
                <w:sz w:val="21"/>
                <w:szCs w:val="20"/>
                <w:lang w:val="en-US" w:eastAsia="zh-CN" w:bidi="ar-SA"/>
              </w:rPr>
              <w:t>封闭式集中培训服务，参训人数</w:t>
            </w:r>
            <w:r>
              <w:rPr>
                <w:rFonts w:hint="eastAsia" w:ascii="宋体" w:hAnsi="宋体" w:cs="Times New Roman"/>
                <w:kern w:val="2"/>
                <w:sz w:val="21"/>
                <w:szCs w:val="20"/>
                <w:lang w:val="en-US" w:eastAsia="zh-CN" w:bidi="ar-SA"/>
              </w:rPr>
              <w:t>50</w:t>
            </w:r>
            <w:r>
              <w:rPr>
                <w:rFonts w:hint="eastAsia" w:ascii="宋体" w:hAnsi="宋体" w:eastAsia="宋体" w:cs="Times New Roman"/>
                <w:kern w:val="2"/>
                <w:sz w:val="21"/>
                <w:szCs w:val="20"/>
                <w:lang w:val="en-US" w:eastAsia="zh-CN" w:bidi="ar-SA"/>
              </w:rPr>
              <w:t>人及以上，项目匹配度极高，得15分</w:t>
            </w:r>
            <w:r>
              <w:rPr>
                <w:rFonts w:hint="eastAsia" w:ascii="宋体" w:hAnsi="宋体" w:cs="Times New Roman"/>
                <w:kern w:val="2"/>
                <w:sz w:val="21"/>
                <w:szCs w:val="20"/>
                <w:lang w:val="en-US" w:eastAsia="zh-CN" w:bidi="ar-SA"/>
              </w:rPr>
              <w:t>。能</w:t>
            </w:r>
            <w:r>
              <w:rPr>
                <w:rFonts w:hint="eastAsia" w:ascii="宋体" w:hAnsi="宋体" w:eastAsia="宋体" w:cs="Times New Roman"/>
                <w:kern w:val="2"/>
                <w:sz w:val="21"/>
                <w:szCs w:val="20"/>
                <w:lang w:val="en-US" w:eastAsia="zh-CN" w:bidi="ar-SA"/>
              </w:rPr>
              <w:t>提供1份完整有效同类业绩（合同+验收证明），为党政机关封闭式培训项目、参训人数</w:t>
            </w:r>
            <w:r>
              <w:rPr>
                <w:rFonts w:hint="eastAsia" w:ascii="宋体" w:hAnsi="宋体" w:cs="Times New Roman"/>
                <w:kern w:val="2"/>
                <w:sz w:val="21"/>
                <w:szCs w:val="20"/>
                <w:lang w:val="en-US" w:eastAsia="zh-CN" w:bidi="ar-SA"/>
              </w:rPr>
              <w:t>30</w:t>
            </w:r>
            <w:r>
              <w:rPr>
                <w:rFonts w:hint="eastAsia" w:ascii="宋体" w:hAnsi="宋体" w:eastAsia="宋体" w:cs="Times New Roman"/>
                <w:kern w:val="2"/>
                <w:sz w:val="21"/>
                <w:szCs w:val="20"/>
                <w:lang w:val="en-US" w:eastAsia="zh-CN" w:bidi="ar-SA"/>
              </w:rPr>
              <w:t>人及以上，项目相似度较高，得10分</w:t>
            </w:r>
            <w:r>
              <w:rPr>
                <w:rFonts w:hint="eastAsia" w:ascii="宋体" w:hAnsi="宋体" w:cs="Times New Roman"/>
                <w:kern w:val="2"/>
                <w:sz w:val="21"/>
                <w:szCs w:val="20"/>
                <w:lang w:val="en-US" w:eastAsia="zh-CN" w:bidi="ar-SA"/>
              </w:rPr>
              <w:t>。能</w:t>
            </w:r>
            <w:r>
              <w:rPr>
                <w:rFonts w:hint="eastAsia" w:ascii="宋体" w:hAnsi="宋体" w:eastAsia="宋体" w:cs="Times New Roman"/>
                <w:kern w:val="2"/>
                <w:sz w:val="21"/>
                <w:szCs w:val="20"/>
                <w:lang w:val="en-US" w:eastAsia="zh-CN" w:bidi="ar-SA"/>
              </w:rPr>
              <w:t>提供完整培训类业绩材料，虽非</w:t>
            </w:r>
            <w:r>
              <w:rPr>
                <w:rFonts w:hint="eastAsia" w:ascii="宋体" w:hAnsi="宋体" w:cs="Times New Roman"/>
                <w:kern w:val="2"/>
                <w:sz w:val="21"/>
                <w:szCs w:val="20"/>
                <w:lang w:val="en-US" w:eastAsia="zh-CN" w:bidi="ar-SA"/>
              </w:rPr>
              <w:t>政法或</w:t>
            </w:r>
            <w:r>
              <w:rPr>
                <w:rFonts w:hint="eastAsia" w:ascii="宋体" w:hAnsi="宋体" w:eastAsia="宋体" w:cs="Times New Roman"/>
                <w:kern w:val="2"/>
                <w:sz w:val="21"/>
                <w:szCs w:val="20"/>
                <w:lang w:val="en-US" w:eastAsia="zh-CN" w:bidi="ar-SA"/>
              </w:rPr>
              <w:t>警务专项集训，但属于机关单位集中培训服务，材料齐全真实，得6分。未提供</w:t>
            </w:r>
            <w:r>
              <w:rPr>
                <w:rFonts w:hint="eastAsia" w:ascii="宋体" w:hAnsi="宋体" w:cs="宋体"/>
                <w:szCs w:val="21"/>
              </w:rPr>
              <w:t>同类项目业绩情况</w:t>
            </w:r>
            <w:r>
              <w:rPr>
                <w:rFonts w:hint="eastAsia" w:ascii="宋体" w:hAnsi="宋体" w:cs="宋体"/>
                <w:szCs w:val="21"/>
                <w:lang w:eastAsia="zh-CN"/>
              </w:rPr>
              <w:t>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676" w:type="dxa"/>
            <w:vMerge w:val="restart"/>
            <w:vAlign w:val="center"/>
          </w:tcPr>
          <w:p>
            <w:pPr>
              <w:pStyle w:val="2"/>
              <w:keepNext w:val="0"/>
              <w:keepLines w:val="0"/>
              <w:pageBreakBefore w:val="0"/>
              <w:kinsoku/>
              <w:overflowPunct/>
              <w:topLinePunct w:val="0"/>
              <w:autoSpaceDE/>
              <w:autoSpaceDN/>
              <w:bidi w:val="0"/>
              <w:adjustRightInd/>
              <w:snapToGrid/>
              <w:spacing w:line="560" w:lineRule="exact"/>
              <w:ind w:left="0" w:leftChars="0" w:firstLine="0" w:firstLineChars="0"/>
              <w:jc w:val="both"/>
              <w:textAlignment w:val="auto"/>
              <w:rPr>
                <w:rFonts w:ascii="宋体" w:hAnsi="宋体"/>
              </w:rPr>
            </w:pPr>
          </w:p>
          <w:p>
            <w:pPr>
              <w:keepNext w:val="0"/>
              <w:keepLines w:val="0"/>
              <w:pageBreakBefore w:val="0"/>
              <w:kinsoku/>
              <w:overflowPunct/>
              <w:topLinePunct w:val="0"/>
              <w:autoSpaceDE/>
              <w:autoSpaceDN/>
              <w:bidi w:val="0"/>
              <w:adjustRightInd/>
              <w:snapToGrid/>
              <w:spacing w:line="560" w:lineRule="exact"/>
              <w:jc w:val="center"/>
              <w:textAlignment w:val="auto"/>
              <w:rPr>
                <w:rFonts w:hint="eastAsia" w:ascii="宋体" w:hAnsi="宋体" w:eastAsia="宋体"/>
                <w:lang w:val="en-US" w:eastAsia="zh-CN"/>
              </w:rPr>
            </w:pPr>
            <w:r>
              <w:rPr>
                <w:rFonts w:hint="eastAsia" w:ascii="宋体" w:hAnsi="宋体" w:eastAsia="宋体"/>
                <w:b/>
                <w:bCs/>
                <w:color w:val="0000FF"/>
                <w:szCs w:val="24"/>
                <w:lang w:val="en-US" w:eastAsia="zh-CN"/>
              </w:rPr>
              <w:t>4</w:t>
            </w:r>
          </w:p>
        </w:tc>
        <w:tc>
          <w:tcPr>
            <w:tcW w:w="3676" w:type="dxa"/>
            <w:gridSpan w:val="3"/>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b/>
                <w:bCs/>
                <w:color w:val="0000FF"/>
                <w:sz w:val="24"/>
                <w:szCs w:val="24"/>
              </w:rPr>
            </w:pPr>
            <w:r>
              <w:rPr>
                <w:rFonts w:ascii="宋体" w:hAnsi="宋体"/>
                <w:b/>
                <w:bCs/>
                <w:color w:val="0000FF"/>
                <w:szCs w:val="24"/>
              </w:rPr>
              <w:t>诚信情况</w:t>
            </w:r>
          </w:p>
        </w:tc>
        <w:tc>
          <w:tcPr>
            <w:tcW w:w="4720" w:type="dxa"/>
          </w:tcPr>
          <w:p>
            <w:pPr>
              <w:keepNext w:val="0"/>
              <w:keepLines w:val="0"/>
              <w:pageBreakBefore w:val="0"/>
              <w:kinsoku/>
              <w:overflowPunct/>
              <w:topLinePunct w:val="0"/>
              <w:autoSpaceDE/>
              <w:autoSpaceDN/>
              <w:bidi w:val="0"/>
              <w:adjustRightInd/>
              <w:snapToGrid/>
              <w:spacing w:line="560" w:lineRule="exact"/>
              <w:jc w:val="center"/>
              <w:textAlignment w:val="auto"/>
              <w:rPr>
                <w:rFonts w:ascii="宋体" w:hAnsi="宋体" w:cs="宋体"/>
                <w:b/>
                <w:bCs/>
                <w:color w:val="0000FF"/>
                <w:sz w:val="24"/>
                <w:szCs w:val="24"/>
              </w:rPr>
            </w:pPr>
            <w:r>
              <w:rPr>
                <w:rFonts w:ascii="宋体" w:hAnsi="宋体"/>
                <w:b/>
                <w:bCs/>
                <w:color w:val="0000FF"/>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676" w:type="dxa"/>
            <w:vMerge w:val="continue"/>
            <w:shd w:val="clear" w:color="auto" w:fill="E6EFFA"/>
            <w:vAlign w:val="center"/>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b/>
                <w:bCs/>
                <w:color w:val="0000FF"/>
                <w:sz w:val="24"/>
                <w:szCs w:val="24"/>
              </w:rPr>
            </w:pPr>
          </w:p>
        </w:tc>
        <w:tc>
          <w:tcPr>
            <w:tcW w:w="675" w:type="dxa"/>
            <w:shd w:val="clear" w:color="auto" w:fill="E6EFF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ascii="宋体" w:hAnsi="宋体"/>
                <w:szCs w:val="21"/>
              </w:rPr>
              <w:t>序号</w:t>
            </w:r>
          </w:p>
        </w:tc>
        <w:tc>
          <w:tcPr>
            <w:tcW w:w="1867" w:type="dxa"/>
            <w:shd w:val="clear" w:color="auto" w:fill="E6EFF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hint="eastAsia" w:ascii="宋体" w:hAnsi="宋体"/>
                <w:szCs w:val="21"/>
              </w:rPr>
              <w:t>评审因素</w:t>
            </w:r>
          </w:p>
        </w:tc>
        <w:tc>
          <w:tcPr>
            <w:tcW w:w="1134" w:type="dxa"/>
            <w:shd w:val="clear" w:color="auto" w:fill="E6EFF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ascii="宋体" w:hAnsi="宋体"/>
                <w:szCs w:val="21"/>
              </w:rPr>
              <w:t>权重(%)</w:t>
            </w:r>
          </w:p>
        </w:tc>
        <w:tc>
          <w:tcPr>
            <w:tcW w:w="4720" w:type="dxa"/>
            <w:shd w:val="clear" w:color="auto" w:fill="E6EFFA"/>
            <w:vAlign w:val="center"/>
          </w:tcPr>
          <w:p>
            <w:pPr>
              <w:keepNext w:val="0"/>
              <w:keepLines w:val="0"/>
              <w:pageBreakBefore w:val="0"/>
              <w:kinsoku/>
              <w:overflowPunct/>
              <w:topLinePunct w:val="0"/>
              <w:autoSpaceDE/>
              <w:autoSpaceDN/>
              <w:bidi w:val="0"/>
              <w:adjustRightInd/>
              <w:snapToGrid/>
              <w:spacing w:line="560" w:lineRule="exact"/>
              <w:jc w:val="center"/>
              <w:textAlignment w:val="auto"/>
              <w:rPr>
                <w:rFonts w:ascii="宋体" w:hAnsi="宋体" w:cs="宋体"/>
                <w:szCs w:val="21"/>
              </w:rPr>
            </w:pPr>
            <w:r>
              <w:rPr>
                <w:rFonts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676" w:type="dxa"/>
            <w:vMerge w:val="continue"/>
            <w:vAlign w:val="center"/>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b/>
                <w:bCs/>
                <w:color w:val="0000FF"/>
                <w:sz w:val="24"/>
                <w:szCs w:val="24"/>
              </w:rPr>
            </w:pPr>
          </w:p>
        </w:tc>
        <w:tc>
          <w:tcPr>
            <w:tcW w:w="675"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szCs w:val="21"/>
              </w:rPr>
            </w:pPr>
            <w:r>
              <w:rPr>
                <w:rFonts w:ascii="宋体" w:hAnsi="宋体"/>
                <w:szCs w:val="21"/>
              </w:rPr>
              <w:t>1</w:t>
            </w:r>
          </w:p>
        </w:tc>
        <w:tc>
          <w:tcPr>
            <w:tcW w:w="1867"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szCs w:val="21"/>
              </w:rPr>
            </w:pPr>
            <w:r>
              <w:rPr>
                <w:rFonts w:ascii="宋体" w:hAnsi="宋体"/>
                <w:szCs w:val="21"/>
              </w:rPr>
              <w:t>诚信情况</w:t>
            </w:r>
          </w:p>
        </w:tc>
        <w:tc>
          <w:tcPr>
            <w:tcW w:w="1134" w:type="dxa"/>
            <w:vAlign w:val="center"/>
          </w:tcPr>
          <w:p>
            <w:pPr>
              <w:keepNext w:val="0"/>
              <w:keepLines w:val="0"/>
              <w:pageBreakBefore w:val="0"/>
              <w:kinsoku/>
              <w:wordWrap w:val="0"/>
              <w:overflowPunct/>
              <w:topLinePunct w:val="0"/>
              <w:autoSpaceDE/>
              <w:autoSpaceDN/>
              <w:bidi w:val="0"/>
              <w:adjustRightInd/>
              <w:snapToGrid/>
              <w:spacing w:line="560" w:lineRule="exact"/>
              <w:jc w:val="center"/>
              <w:textAlignment w:val="auto"/>
              <w:rPr>
                <w:rFonts w:ascii="宋体" w:hAnsi="宋体" w:cs="宋体"/>
                <w:szCs w:val="21"/>
              </w:rPr>
            </w:pPr>
            <w:r>
              <w:rPr>
                <w:rFonts w:ascii="宋体" w:hAnsi="宋体"/>
                <w:szCs w:val="21"/>
              </w:rPr>
              <w:t>5</w:t>
            </w:r>
          </w:p>
        </w:tc>
        <w:tc>
          <w:tcPr>
            <w:tcW w:w="4720" w:type="dxa"/>
          </w:tcPr>
          <w:p>
            <w:pPr>
              <w:keepNext w:val="0"/>
              <w:keepLines w:val="0"/>
              <w:pageBreakBefore w:val="0"/>
              <w:kinsoku/>
              <w:overflowPunct/>
              <w:topLinePunct w:val="0"/>
              <w:autoSpaceDE/>
              <w:autoSpaceDN/>
              <w:bidi w:val="0"/>
              <w:adjustRightInd/>
              <w:snapToGrid/>
              <w:spacing w:line="560" w:lineRule="exact"/>
              <w:textAlignment w:val="auto"/>
              <w:rPr>
                <w:rFonts w:ascii="宋体" w:hAnsi="宋体" w:cs="宋体"/>
                <w:szCs w:val="21"/>
              </w:rPr>
            </w:pPr>
            <w:r>
              <w:rPr>
                <w:rFonts w:hint="eastAsia" w:ascii="宋体" w:hAnsi="宋体" w:cs="宋体"/>
                <w:szCs w:val="21"/>
                <w:lang w:eastAsia="zh-CN"/>
              </w:rPr>
              <w:t>评审内容：</w:t>
            </w:r>
            <w:r>
              <w:rPr>
                <w:rFonts w:hint="eastAsia" w:ascii="宋体" w:hAnsi="宋体" w:cs="宋体"/>
                <w:szCs w:val="21"/>
              </w:rPr>
              <w:t>不存在政府采购失信、处罚在有效期内的，得</w:t>
            </w:r>
            <w:r>
              <w:rPr>
                <w:rFonts w:hint="eastAsia" w:ascii="宋体" w:hAnsi="宋体" w:cs="宋体"/>
                <w:szCs w:val="21"/>
                <w:lang w:val="en-US" w:eastAsia="zh-CN"/>
              </w:rPr>
              <w:t>5</w:t>
            </w:r>
            <w:r>
              <w:rPr>
                <w:rFonts w:hint="eastAsia" w:ascii="宋体" w:hAnsi="宋体" w:cs="宋体"/>
                <w:szCs w:val="21"/>
              </w:rPr>
              <w:t>分</w:t>
            </w:r>
            <w:r>
              <w:rPr>
                <w:rFonts w:hint="eastAsia" w:ascii="宋体" w:hAnsi="宋体" w:cs="宋体"/>
                <w:szCs w:val="21"/>
                <w:lang w:eastAsia="zh-CN"/>
              </w:rPr>
              <w:t>。</w:t>
            </w:r>
            <w:r>
              <w:rPr>
                <w:rFonts w:hint="eastAsia" w:ascii="宋体" w:hAnsi="宋体" w:cs="宋体"/>
                <w:szCs w:val="21"/>
              </w:rPr>
              <w:t>存在失信处罚</w:t>
            </w:r>
            <w:r>
              <w:rPr>
                <w:rFonts w:hint="eastAsia" w:ascii="宋体" w:hAnsi="宋体" w:cs="宋体"/>
                <w:szCs w:val="21"/>
                <w:lang w:eastAsia="zh-CN"/>
              </w:rPr>
              <w:t>已过</w:t>
            </w:r>
            <w:r>
              <w:rPr>
                <w:rFonts w:hint="eastAsia" w:ascii="宋体" w:hAnsi="宋体" w:cs="宋体"/>
                <w:szCs w:val="21"/>
              </w:rPr>
              <w:t>执行有效期的</w:t>
            </w:r>
            <w:r>
              <w:rPr>
                <w:rFonts w:hint="eastAsia" w:ascii="宋体" w:hAnsi="宋体" w:cs="宋体"/>
                <w:szCs w:val="21"/>
                <w:lang w:eastAsia="zh-CN"/>
              </w:rPr>
              <w:t>，</w:t>
            </w:r>
            <w:r>
              <w:rPr>
                <w:rFonts w:hint="eastAsia" w:ascii="宋体" w:hAnsi="宋体" w:cs="宋体"/>
                <w:szCs w:val="21"/>
              </w:rPr>
              <w:t>本项</w:t>
            </w:r>
            <w:r>
              <w:rPr>
                <w:rFonts w:hint="eastAsia" w:ascii="宋体" w:hAnsi="宋体" w:cs="宋体"/>
                <w:szCs w:val="21"/>
                <w:lang w:eastAsia="zh-CN"/>
              </w:rPr>
              <w:t>得</w:t>
            </w:r>
            <w:r>
              <w:rPr>
                <w:rFonts w:hint="eastAsia" w:ascii="宋体" w:hAnsi="宋体" w:cs="宋体"/>
                <w:szCs w:val="21"/>
                <w:lang w:val="en-US" w:eastAsia="zh-CN"/>
              </w:rPr>
              <w:t>2分</w:t>
            </w:r>
            <w:r>
              <w:rPr>
                <w:rFonts w:hint="eastAsia" w:ascii="宋体" w:hAnsi="宋体" w:cs="宋体"/>
                <w:szCs w:val="21"/>
                <w:lang w:eastAsia="zh-CN"/>
              </w:rPr>
              <w:t>。</w:t>
            </w:r>
            <w:r>
              <w:rPr>
                <w:rFonts w:hint="eastAsia" w:ascii="宋体" w:hAnsi="宋体" w:cs="宋体"/>
                <w:szCs w:val="21"/>
              </w:rPr>
              <w:t>存在失信处罚且尚在执行有效期内的不得分。由采购评审小组现场查询核验，无需额外提交材料。</w:t>
            </w:r>
          </w:p>
        </w:tc>
      </w:tr>
    </w:tbl>
    <w:p>
      <w:pPr>
        <w:keepNext w:val="0"/>
        <w:keepLines w:val="0"/>
        <w:pageBreakBefore w:val="0"/>
        <w:kinsoku/>
        <w:overflowPunct/>
        <w:topLinePunct w:val="0"/>
        <w:autoSpaceDE/>
        <w:autoSpaceDN/>
        <w:bidi w:val="0"/>
        <w:adjustRightInd/>
        <w:snapToGrid/>
        <w:spacing w:line="560" w:lineRule="exact"/>
        <w:jc w:val="center"/>
        <w:textAlignment w:val="auto"/>
        <w:rPr>
          <w:rFonts w:ascii="仿宋" w:hAnsi="仿宋" w:eastAsia="仿宋" w:cs="华文仿宋"/>
          <w:b/>
          <w:bCs/>
          <w:sz w:val="28"/>
          <w:szCs w:val="28"/>
        </w:rPr>
      </w:pPr>
    </w:p>
    <w:p>
      <w:pPr>
        <w:keepNext w:val="0"/>
        <w:keepLines w:val="0"/>
        <w:pageBreakBefore w:val="0"/>
        <w:kinsoku/>
        <w:overflowPunct/>
        <w:topLinePunct w:val="0"/>
        <w:autoSpaceDE/>
        <w:autoSpaceDN/>
        <w:bidi w:val="0"/>
        <w:adjustRightInd/>
        <w:snapToGrid/>
        <w:spacing w:line="560" w:lineRule="exact"/>
        <w:jc w:val="center"/>
        <w:textAlignment w:val="auto"/>
        <w:rPr>
          <w:rFonts w:ascii="仿宋" w:hAnsi="仿宋" w:eastAsia="仿宋" w:cs="华文仿宋"/>
          <w:b/>
          <w:bCs/>
          <w:sz w:val="28"/>
          <w:szCs w:val="28"/>
        </w:rPr>
      </w:pPr>
    </w:p>
    <w:p>
      <w:pPr>
        <w:keepNext w:val="0"/>
        <w:keepLines w:val="0"/>
        <w:pageBreakBefore w:val="0"/>
        <w:kinsoku/>
        <w:overflowPunct/>
        <w:topLinePunct w:val="0"/>
        <w:autoSpaceDE/>
        <w:autoSpaceDN/>
        <w:bidi w:val="0"/>
        <w:adjustRightInd/>
        <w:snapToGrid/>
        <w:spacing w:line="560" w:lineRule="exact"/>
        <w:textAlignment w:val="auto"/>
      </w:pPr>
    </w:p>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楷体_GB2312">
    <w:altName w:val="方正楷体_GBK"/>
    <w:panose1 w:val="02010609030101010101"/>
    <w:charset w:val="00"/>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华文仿宋">
    <w:altName w:val="汉仪仿宋简"/>
    <w:panose1 w:val="02010600040101010101"/>
    <w:charset w:val="86"/>
    <w:family w:val="auto"/>
    <w:pitch w:val="default"/>
    <w:sig w:usb0="00000000" w:usb1="00000000" w:usb2="00000010" w:usb3="00000000" w:csb0="000400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汉仪仿宋简">
    <w:panose1 w:val="02010600000101010101"/>
    <w:charset w:val="86"/>
    <w:family w:val="auto"/>
    <w:pitch w:val="default"/>
    <w:sig w:usb0="00000001" w:usb1="080E0800" w:usb2="00000002"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2EA"/>
    <w:rsid w:val="001C468E"/>
    <w:rsid w:val="00F972EA"/>
    <w:rsid w:val="2F7FA463"/>
    <w:rsid w:val="37FDF783"/>
    <w:rsid w:val="3F7AA87A"/>
    <w:rsid w:val="4FFAA681"/>
    <w:rsid w:val="5FF70BBB"/>
    <w:rsid w:val="6AEF9F04"/>
    <w:rsid w:val="6BF78ACC"/>
    <w:rsid w:val="6BFF01A4"/>
    <w:rsid w:val="73551438"/>
    <w:rsid w:val="75D7FB43"/>
    <w:rsid w:val="77F70F96"/>
    <w:rsid w:val="7B6F9EC0"/>
    <w:rsid w:val="7DF3C731"/>
    <w:rsid w:val="7F8B305B"/>
    <w:rsid w:val="AFDFBBD5"/>
    <w:rsid w:val="BA7F0106"/>
    <w:rsid w:val="BE63DC0A"/>
    <w:rsid w:val="BFF3D4AA"/>
    <w:rsid w:val="C5F5925B"/>
    <w:rsid w:val="DDBD82E5"/>
    <w:rsid w:val="E3AF5141"/>
    <w:rsid w:val="E7BB50FD"/>
    <w:rsid w:val="EBEF98FD"/>
    <w:rsid w:val="FBFF0C1D"/>
    <w:rsid w:val="FDDFFA15"/>
    <w:rsid w:val="FEFF6633"/>
    <w:rsid w:val="FF4790F6"/>
    <w:rsid w:val="FF5FC5CD"/>
    <w:rsid w:val="FF7C41B7"/>
    <w:rsid w:val="FFA59CB5"/>
    <w:rsid w:val="FFBFB2ED"/>
    <w:rsid w:val="FFFFA4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99"/>
    <w:pPr>
      <w:ind w:left="420"/>
    </w:pPr>
  </w:style>
  <w:style w:type="paragraph" w:styleId="3">
    <w:name w:val="Body Text"/>
    <w:basedOn w:val="1"/>
    <w:link w:val="8"/>
    <w:semiHidden/>
    <w:unhideWhenUsed/>
    <w:qFormat/>
    <w:uiPriority w:val="99"/>
    <w:pPr>
      <w:spacing w:after="120"/>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customStyle="1" w:styleId="8">
    <w:name w:val="正文文本 Char"/>
    <w:basedOn w:val="6"/>
    <w:link w:val="3"/>
    <w:semiHidden/>
    <w:qFormat/>
    <w:uiPriority w:val="99"/>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1284</Words>
  <Characters>7320</Characters>
  <Lines>61</Lines>
  <Paragraphs>17</Paragraphs>
  <TotalTime>3</TotalTime>
  <ScaleCrop>false</ScaleCrop>
  <LinksUpToDate>false</LinksUpToDate>
  <CharactersWithSpaces>8587</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2026-05-12T09:59:00Z</dcterms:created>
  <dc:creator>FtpDown</dc:creator>
  <cp:lastModifiedBy>huangwencong</cp:lastModifiedBy>
  <cp:lastPrinted>2026-09-18T16:22:46Z</cp:lastPrinted>
  <dcterms:modified xsi:type="dcterms:W3CDTF">2026-09-18T17:22:32Z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ies>
</file>